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6C1F9A">
      <w:pPr>
        <w:rPr>
          <w:rFonts w:ascii="黑体" w:hAnsi="黑体" w:eastAsia="黑体" w:cs="仿宋"/>
          <w:sz w:val="32"/>
          <w:szCs w:val="32"/>
        </w:rPr>
      </w:pPr>
    </w:p>
    <w:p w14:paraId="03E623B7">
      <w:pPr>
        <w:rPr>
          <w:rFonts w:ascii="黑体" w:hAnsi="黑体" w:eastAsia="黑体" w:cs="仿宋"/>
          <w:sz w:val="32"/>
          <w:szCs w:val="32"/>
        </w:rPr>
      </w:pPr>
    </w:p>
    <w:p w14:paraId="45D415F9">
      <w:pPr>
        <w:rPr>
          <w:rFonts w:ascii="黑体" w:hAnsi="黑体" w:eastAsia="黑体" w:cs="仿宋"/>
          <w:sz w:val="32"/>
          <w:szCs w:val="32"/>
        </w:rPr>
      </w:pPr>
    </w:p>
    <w:p w14:paraId="7734D4E5">
      <w:pPr>
        <w:widowControl/>
        <w:spacing w:line="700" w:lineRule="exact"/>
        <w:jc w:val="center"/>
        <w:rPr>
          <w:rFonts w:hint="eastAsia" w:ascii="微软雅黑" w:hAnsi="微软雅黑" w:eastAsia="微软雅黑" w:cs="微软雅黑"/>
          <w:sz w:val="52"/>
          <w:szCs w:val="52"/>
        </w:rPr>
      </w:pPr>
      <w:r>
        <w:rPr>
          <w:rFonts w:hint="eastAsia" w:ascii="微软雅黑" w:hAnsi="微软雅黑" w:eastAsia="微软雅黑" w:cs="微软雅黑"/>
          <w:sz w:val="52"/>
          <w:szCs w:val="52"/>
        </w:rPr>
        <w:t>202</w:t>
      </w:r>
      <w:r>
        <w:rPr>
          <w:rFonts w:hint="eastAsia" w:ascii="微软雅黑" w:hAnsi="微软雅黑" w:eastAsia="微软雅黑" w:cs="微软雅黑"/>
          <w:sz w:val="52"/>
          <w:szCs w:val="52"/>
          <w:lang w:val="en-US" w:eastAsia="zh-CN"/>
        </w:rPr>
        <w:t>5</w:t>
      </w:r>
      <w:r>
        <w:rPr>
          <w:rFonts w:hint="eastAsia" w:ascii="微软雅黑" w:hAnsi="微软雅黑" w:eastAsia="微软雅黑" w:cs="微软雅黑"/>
          <w:sz w:val="52"/>
          <w:szCs w:val="52"/>
        </w:rPr>
        <w:t>年度</w:t>
      </w:r>
      <w:r>
        <w:rPr>
          <w:rFonts w:hint="eastAsia" w:ascii="微软雅黑" w:hAnsi="微软雅黑" w:eastAsia="微软雅黑" w:cs="微软雅黑"/>
          <w:sz w:val="52"/>
          <w:szCs w:val="52"/>
          <w:lang w:eastAsia="zh-CN"/>
        </w:rPr>
        <w:t>安化县</w:t>
      </w:r>
      <w:r>
        <w:rPr>
          <w:rFonts w:hint="eastAsia" w:ascii="微软雅黑" w:hAnsi="微软雅黑" w:eastAsia="微软雅黑" w:cs="微软雅黑"/>
          <w:sz w:val="52"/>
          <w:szCs w:val="52"/>
        </w:rPr>
        <w:t>应急管理局</w:t>
      </w:r>
    </w:p>
    <w:p w14:paraId="3525CF82">
      <w:pPr>
        <w:widowControl/>
        <w:spacing w:line="700" w:lineRule="exact"/>
        <w:jc w:val="center"/>
        <w:rPr>
          <w:rFonts w:ascii="微软雅黑" w:hAnsi="微软雅黑" w:eastAsia="微软雅黑" w:cs="微软雅黑"/>
          <w:sz w:val="52"/>
          <w:szCs w:val="52"/>
        </w:rPr>
      </w:pPr>
      <w:r>
        <w:rPr>
          <w:rFonts w:hint="eastAsia" w:ascii="微软雅黑" w:hAnsi="微软雅黑" w:eastAsia="微软雅黑" w:cs="微软雅黑"/>
          <w:sz w:val="52"/>
          <w:szCs w:val="52"/>
        </w:rPr>
        <w:t>整体支出绩效自评报告</w:t>
      </w:r>
    </w:p>
    <w:p w14:paraId="13EDC5FE">
      <w:pPr>
        <w:widowControl/>
        <w:ind w:firstLine="361" w:firstLineChars="100"/>
        <w:rPr>
          <w:rFonts w:ascii="楷体" w:hAnsi="楷体" w:eastAsia="楷体" w:cs="楷体"/>
          <w:b/>
          <w:bCs/>
          <w:kern w:val="0"/>
          <w:sz w:val="36"/>
          <w:szCs w:val="36"/>
        </w:rPr>
      </w:pPr>
    </w:p>
    <w:p w14:paraId="12857B9A"/>
    <w:p w14:paraId="13D4B103">
      <w:pPr>
        <w:rPr>
          <w:rFonts w:ascii="楷体" w:hAnsi="楷体" w:eastAsia="楷体" w:cs="楷体"/>
          <w:b/>
          <w:bCs/>
          <w:kern w:val="0"/>
          <w:sz w:val="36"/>
          <w:szCs w:val="36"/>
        </w:rPr>
      </w:pPr>
    </w:p>
    <w:p w14:paraId="4C9BEAE2">
      <w:pPr>
        <w:rPr>
          <w:rFonts w:ascii="楷体" w:hAnsi="楷体" w:eastAsia="楷体" w:cs="楷体"/>
          <w:b/>
          <w:bCs/>
          <w:kern w:val="0"/>
          <w:sz w:val="36"/>
          <w:szCs w:val="36"/>
        </w:rPr>
      </w:pPr>
    </w:p>
    <w:p w14:paraId="1C77CC74">
      <w:pPr>
        <w:rPr>
          <w:rFonts w:ascii="楷体" w:hAnsi="楷体" w:eastAsia="楷体" w:cs="楷体"/>
          <w:b/>
          <w:bCs/>
          <w:kern w:val="0"/>
          <w:sz w:val="36"/>
          <w:szCs w:val="36"/>
        </w:rPr>
      </w:pPr>
    </w:p>
    <w:p w14:paraId="6F3A48A7">
      <w:pPr>
        <w:rPr>
          <w:rFonts w:ascii="楷体" w:hAnsi="楷体" w:eastAsia="楷体" w:cs="楷体"/>
          <w:b/>
          <w:bCs/>
          <w:kern w:val="0"/>
          <w:sz w:val="36"/>
          <w:szCs w:val="36"/>
        </w:rPr>
      </w:pPr>
      <w:bookmarkStart w:id="0" w:name="_GoBack"/>
      <w:bookmarkEnd w:id="0"/>
    </w:p>
    <w:p w14:paraId="3D043D0C">
      <w:pPr>
        <w:pStyle w:val="2"/>
      </w:pPr>
    </w:p>
    <w:p w14:paraId="4B39A35F">
      <w:pPr>
        <w:widowControl/>
        <w:ind w:firstLine="361" w:firstLineChars="100"/>
        <w:rPr>
          <w:rFonts w:ascii="楷体" w:hAnsi="楷体" w:eastAsia="楷体" w:cs="楷体"/>
          <w:b/>
          <w:bCs/>
          <w:kern w:val="0"/>
          <w:sz w:val="36"/>
          <w:szCs w:val="36"/>
        </w:rPr>
      </w:pPr>
    </w:p>
    <w:p w14:paraId="46EC3DDC">
      <w:pPr>
        <w:widowControl/>
        <w:ind w:firstLine="360" w:firstLineChars="100"/>
        <w:rPr>
          <w:rFonts w:ascii="黑体" w:hAnsi="黑体" w:eastAsia="黑体" w:cs="黑体"/>
          <w:kern w:val="0"/>
          <w:sz w:val="48"/>
          <w:szCs w:val="48"/>
          <w:u w:val="single"/>
        </w:rPr>
      </w:pPr>
      <w:r>
        <w:rPr>
          <w:rFonts w:hint="eastAsia" w:ascii="黑体" w:hAnsi="黑体" w:eastAsia="黑体" w:cs="黑体"/>
          <w:kern w:val="0"/>
          <w:sz w:val="36"/>
          <w:szCs w:val="36"/>
        </w:rPr>
        <w:t>申报单位（盖章）</w:t>
      </w:r>
      <w:r>
        <w:rPr>
          <w:rFonts w:hint="eastAsia" w:ascii="黑体" w:hAnsi="黑体" w:eastAsia="黑体" w:cs="黑体"/>
          <w:kern w:val="0"/>
          <w:sz w:val="48"/>
          <w:szCs w:val="48"/>
        </w:rPr>
        <w:t>：</w:t>
      </w:r>
      <w:r>
        <w:rPr>
          <w:rFonts w:hint="eastAsia" w:ascii="黑体" w:hAnsi="黑体" w:eastAsia="黑体" w:cs="黑体"/>
          <w:kern w:val="0"/>
          <w:sz w:val="36"/>
          <w:szCs w:val="36"/>
          <w:u w:val="single"/>
          <w:lang w:eastAsia="zh-CN"/>
        </w:rPr>
        <w:t>安化县应急管理局</w:t>
      </w:r>
    </w:p>
    <w:p w14:paraId="7BEB2BFE">
      <w:pPr>
        <w:jc w:val="center"/>
        <w:rPr>
          <w:rFonts w:ascii="黑体" w:hAnsi="黑体" w:eastAsia="黑体" w:cs="黑体"/>
          <w:kern w:val="0"/>
          <w:sz w:val="36"/>
          <w:szCs w:val="36"/>
        </w:rPr>
      </w:pPr>
      <w:r>
        <w:rPr>
          <w:rFonts w:hint="eastAsia" w:ascii="黑体" w:hAnsi="黑体" w:eastAsia="黑体" w:cs="黑体"/>
          <w:kern w:val="0"/>
          <w:sz w:val="36"/>
          <w:szCs w:val="36"/>
          <w:lang w:val="en-US" w:eastAsia="zh-CN"/>
        </w:rPr>
        <w:t xml:space="preserve">           2026</w:t>
      </w:r>
      <w:r>
        <w:rPr>
          <w:rFonts w:hint="eastAsia" w:ascii="黑体" w:hAnsi="黑体" w:eastAsia="黑体" w:cs="黑体"/>
          <w:kern w:val="0"/>
          <w:sz w:val="36"/>
          <w:szCs w:val="36"/>
        </w:rPr>
        <w:t>年</w:t>
      </w:r>
      <w:r>
        <w:rPr>
          <w:rFonts w:hint="eastAsia" w:ascii="黑体" w:hAnsi="黑体" w:eastAsia="黑体" w:cs="黑体"/>
          <w:kern w:val="0"/>
          <w:sz w:val="36"/>
          <w:szCs w:val="36"/>
          <w:lang w:val="en-US" w:eastAsia="zh-CN"/>
        </w:rPr>
        <w:t>5</w:t>
      </w:r>
      <w:r>
        <w:rPr>
          <w:rFonts w:hint="eastAsia" w:ascii="黑体" w:hAnsi="黑体" w:eastAsia="黑体" w:cs="黑体"/>
          <w:kern w:val="0"/>
          <w:sz w:val="36"/>
          <w:szCs w:val="36"/>
        </w:rPr>
        <w:t>月</w:t>
      </w:r>
      <w:r>
        <w:rPr>
          <w:rFonts w:hint="eastAsia" w:ascii="黑体" w:hAnsi="黑体" w:eastAsia="黑体" w:cs="黑体"/>
          <w:kern w:val="0"/>
          <w:sz w:val="36"/>
          <w:szCs w:val="36"/>
          <w:lang w:val="en-US" w:eastAsia="zh-CN"/>
        </w:rPr>
        <w:t>6</w:t>
      </w:r>
      <w:r>
        <w:rPr>
          <w:rFonts w:hint="eastAsia" w:ascii="黑体" w:hAnsi="黑体" w:eastAsia="黑体" w:cs="黑体"/>
          <w:kern w:val="0"/>
          <w:sz w:val="36"/>
          <w:szCs w:val="36"/>
        </w:rPr>
        <w:t>日</w:t>
      </w:r>
    </w:p>
    <w:p w14:paraId="39059970">
      <w:pPr>
        <w:jc w:val="center"/>
        <w:rPr>
          <w:rFonts w:ascii="黑体" w:hAnsi="黑体" w:eastAsia="黑体" w:cs="宋体"/>
          <w:kern w:val="0"/>
          <w:sz w:val="32"/>
          <w:szCs w:val="32"/>
        </w:rPr>
      </w:pPr>
      <w:r>
        <w:rPr>
          <w:rFonts w:hint="eastAsia" w:ascii="黑体" w:hAnsi="黑体" w:eastAsia="黑体" w:cs="仿宋"/>
          <w:kern w:val="0"/>
          <w:sz w:val="32"/>
          <w:szCs w:val="32"/>
        </w:rPr>
        <w:br w:type="page"/>
      </w:r>
    </w:p>
    <w:p w14:paraId="28139B47">
      <w:pPr>
        <w:widowControl/>
        <w:autoSpaceDN w:val="0"/>
        <w:spacing w:line="576" w:lineRule="exact"/>
        <w:jc w:val="center"/>
        <w:rPr>
          <w:rFonts w:hint="eastAsia" w:ascii="微软雅黑" w:hAnsi="仿宋" w:eastAsia="微软雅黑" w:cs="宋体"/>
          <w:bCs/>
          <w:kern w:val="0"/>
          <w:sz w:val="44"/>
          <w:szCs w:val="44"/>
        </w:rPr>
      </w:pPr>
      <w:r>
        <w:rPr>
          <w:rFonts w:hint="eastAsia" w:ascii="微软雅黑" w:hAnsi="仿宋" w:eastAsia="微软雅黑" w:cs="宋体"/>
          <w:bCs/>
          <w:kern w:val="0"/>
          <w:sz w:val="44"/>
          <w:szCs w:val="44"/>
        </w:rPr>
        <w:t>202</w:t>
      </w:r>
      <w:r>
        <w:rPr>
          <w:rFonts w:hint="eastAsia" w:ascii="微软雅黑" w:hAnsi="仿宋" w:eastAsia="微软雅黑" w:cs="宋体"/>
          <w:bCs/>
          <w:kern w:val="0"/>
          <w:sz w:val="44"/>
          <w:szCs w:val="44"/>
          <w:lang w:val="en-US" w:eastAsia="zh-CN"/>
        </w:rPr>
        <w:t>5</w:t>
      </w:r>
      <w:r>
        <w:rPr>
          <w:rFonts w:hint="eastAsia" w:ascii="微软雅黑" w:hAnsi="仿宋" w:eastAsia="微软雅黑" w:cs="宋体"/>
          <w:bCs/>
          <w:kern w:val="0"/>
          <w:sz w:val="44"/>
          <w:szCs w:val="44"/>
        </w:rPr>
        <w:t>年度</w:t>
      </w:r>
      <w:r>
        <w:rPr>
          <w:rFonts w:hint="eastAsia" w:ascii="微软雅黑" w:hAnsi="仿宋" w:eastAsia="微软雅黑" w:cs="宋体"/>
          <w:bCs/>
          <w:kern w:val="0"/>
          <w:sz w:val="44"/>
          <w:szCs w:val="44"/>
          <w:lang w:eastAsia="zh-CN"/>
        </w:rPr>
        <w:t>安化县</w:t>
      </w:r>
      <w:r>
        <w:rPr>
          <w:rFonts w:hint="eastAsia" w:ascii="微软雅黑" w:hAnsi="仿宋" w:eastAsia="微软雅黑" w:cs="宋体"/>
          <w:bCs/>
          <w:kern w:val="0"/>
          <w:sz w:val="44"/>
          <w:szCs w:val="44"/>
        </w:rPr>
        <w:t>应急管理局</w:t>
      </w:r>
    </w:p>
    <w:p w14:paraId="4B9406A9">
      <w:pPr>
        <w:widowControl/>
        <w:autoSpaceDN w:val="0"/>
        <w:spacing w:line="576" w:lineRule="exact"/>
        <w:jc w:val="center"/>
        <w:rPr>
          <w:rFonts w:ascii="微软雅黑" w:hAnsi="仿宋" w:eastAsia="微软雅黑" w:cs="宋体"/>
          <w:bCs/>
          <w:kern w:val="0"/>
          <w:sz w:val="44"/>
          <w:szCs w:val="44"/>
        </w:rPr>
      </w:pPr>
      <w:r>
        <w:rPr>
          <w:rFonts w:hint="eastAsia" w:ascii="微软雅黑" w:hAnsi="仿宋" w:eastAsia="微软雅黑" w:cs="宋体"/>
          <w:bCs/>
          <w:kern w:val="0"/>
          <w:sz w:val="44"/>
          <w:szCs w:val="44"/>
        </w:rPr>
        <w:t>整体支出绩效自评报告</w:t>
      </w:r>
    </w:p>
    <w:p w14:paraId="4804A7A5">
      <w:pPr>
        <w:widowControl/>
        <w:spacing w:line="576" w:lineRule="exact"/>
        <w:ind w:firstLine="640" w:firstLineChars="200"/>
        <w:jc w:val="left"/>
        <w:rPr>
          <w:rFonts w:ascii="黑体" w:hAnsi="黑体" w:eastAsia="黑体" w:cs="宋体"/>
          <w:color w:val="000000"/>
          <w:kern w:val="0"/>
          <w:sz w:val="32"/>
          <w:szCs w:val="32"/>
        </w:rPr>
      </w:pPr>
      <w:r>
        <w:rPr>
          <w:rFonts w:hint="eastAsia" w:ascii="黑体" w:hAnsi="黑体" w:eastAsia="黑体" w:cs="宋体"/>
          <w:color w:val="000000"/>
          <w:kern w:val="0"/>
          <w:sz w:val="32"/>
          <w:szCs w:val="32"/>
        </w:rPr>
        <w:t>一、部门(单位)基本情况</w:t>
      </w:r>
    </w:p>
    <w:p w14:paraId="364EF1AB">
      <w:pPr>
        <w:widowControl/>
        <w:spacing w:line="576" w:lineRule="exact"/>
        <w:ind w:firstLine="640" w:firstLineChars="200"/>
        <w:jc w:val="left"/>
        <w:rPr>
          <w:rFonts w:hint="eastAsia" w:ascii="楷体_GB2312" w:hAnsi="楷体_GB2312" w:eastAsia="楷体_GB2312" w:cs="楷体_GB2312"/>
          <w:color w:val="000000"/>
          <w:kern w:val="0"/>
          <w:sz w:val="32"/>
          <w:szCs w:val="32"/>
          <w:lang w:eastAsia="zh-CN"/>
        </w:rPr>
      </w:pPr>
      <w:r>
        <w:rPr>
          <w:rFonts w:hint="eastAsia" w:ascii="楷体_GB2312" w:hAnsi="楷体_GB2312" w:eastAsia="楷体_GB2312" w:cs="楷体_GB2312"/>
          <w:color w:val="000000"/>
          <w:kern w:val="0"/>
          <w:sz w:val="32"/>
          <w:szCs w:val="32"/>
        </w:rPr>
        <w:t>(一) 202</w:t>
      </w:r>
      <w:r>
        <w:rPr>
          <w:rFonts w:hint="eastAsia" w:ascii="楷体_GB2312" w:hAnsi="楷体_GB2312" w:eastAsia="楷体_GB2312" w:cs="楷体_GB2312"/>
          <w:color w:val="000000"/>
          <w:kern w:val="0"/>
          <w:sz w:val="32"/>
          <w:szCs w:val="32"/>
          <w:lang w:val="en-US" w:eastAsia="zh-CN"/>
        </w:rPr>
        <w:t>5</w:t>
      </w:r>
      <w:r>
        <w:rPr>
          <w:rFonts w:hint="eastAsia" w:ascii="楷体_GB2312" w:hAnsi="楷体_GB2312" w:eastAsia="楷体_GB2312" w:cs="楷体_GB2312"/>
          <w:color w:val="000000"/>
          <w:kern w:val="0"/>
          <w:sz w:val="32"/>
          <w:szCs w:val="32"/>
        </w:rPr>
        <w:t>年度重点工作</w:t>
      </w:r>
      <w:r>
        <w:rPr>
          <w:rFonts w:hint="eastAsia" w:ascii="楷体_GB2312" w:hAnsi="楷体_GB2312" w:eastAsia="楷体_GB2312" w:cs="楷体_GB2312"/>
          <w:color w:val="000000"/>
          <w:kern w:val="0"/>
          <w:sz w:val="32"/>
          <w:szCs w:val="32"/>
          <w:lang w:eastAsia="zh-CN"/>
        </w:rPr>
        <w:t>：</w:t>
      </w:r>
    </w:p>
    <w:p w14:paraId="15368DEE">
      <w:pPr>
        <w:widowControl/>
        <w:spacing w:line="576" w:lineRule="exact"/>
        <w:ind w:firstLine="640" w:firstLineChars="200"/>
        <w:jc w:val="both"/>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2025年，本局以安全生产治本攻坚三年行动和安全守底行动为抓手，强执法、除隐患、促联动、防事故，全面落实落细各项安全防范举措。全年累计发生各类生产安全事故6起亡7人，同比分别下降25%和12.5%，连续10年未发生较大及以上生产安全事故，未发生森林火灾和自然灾害亡人事故，最大限度减少了人民群众生命财产损失。成功应对12轮强降雨，守住了“不垮一库一坝”底线。江南镇“3·4”等6起成功避险案例获应急管理部及省应急委办公室通报表扬，梅城镇双富村“6·21”山体滑坡避险案例获评湖南省2025年度“十大典型避险避灾案例”。2025年10月获评首批“全国综合减灾示范县”，为湖南省唯一受表彰的县。获评益阳市2025年度安全生产、防汛抗旱、森林防灭火工作成效明显的县市区。</w:t>
      </w:r>
    </w:p>
    <w:p w14:paraId="38EA49EE">
      <w:pPr>
        <w:widowControl/>
        <w:spacing w:line="576" w:lineRule="exact"/>
        <w:ind w:firstLine="640" w:firstLineChars="200"/>
        <w:jc w:val="left"/>
        <w:rPr>
          <w:rFonts w:hint="eastAsia" w:ascii="楷体_GB2312" w:hAnsi="楷体_GB2312" w:eastAsia="楷体_GB2312" w:cs="楷体_GB2312"/>
          <w:color w:val="000000"/>
          <w:kern w:val="0"/>
          <w:sz w:val="32"/>
          <w:szCs w:val="32"/>
          <w:lang w:eastAsia="zh-CN"/>
        </w:rPr>
      </w:pPr>
      <w:r>
        <w:rPr>
          <w:rFonts w:hint="eastAsia" w:ascii="楷体_GB2312" w:hAnsi="楷体_GB2312" w:eastAsia="楷体_GB2312" w:cs="楷体_GB2312"/>
          <w:color w:val="000000"/>
          <w:kern w:val="0"/>
          <w:sz w:val="32"/>
          <w:szCs w:val="32"/>
        </w:rPr>
        <w:t>(二)部门整体支出规模、使用方向、主要内容和涉及范围</w:t>
      </w:r>
      <w:r>
        <w:rPr>
          <w:rFonts w:hint="eastAsia" w:ascii="楷体_GB2312" w:hAnsi="楷体_GB2312" w:eastAsia="楷体_GB2312" w:cs="楷体_GB2312"/>
          <w:color w:val="000000"/>
          <w:kern w:val="0"/>
          <w:sz w:val="32"/>
          <w:szCs w:val="32"/>
          <w:lang w:eastAsia="zh-CN"/>
        </w:rPr>
        <w:t>：</w:t>
      </w:r>
    </w:p>
    <w:p w14:paraId="26226A0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color w:val="000000"/>
          <w:kern w:val="0"/>
          <w:sz w:val="32"/>
          <w:szCs w:val="32"/>
        </w:rPr>
      </w:pPr>
      <w:r>
        <w:rPr>
          <w:rFonts w:hint="eastAsia" w:ascii="仿宋_GB2312" w:hAnsi="仿宋_GB2312" w:eastAsia="仿宋_GB2312" w:cs="仿宋_GB2312"/>
          <w:sz w:val="32"/>
          <w:szCs w:val="32"/>
          <w:lang w:val="en-US" w:eastAsia="zh-CN"/>
        </w:rPr>
        <w:t>2025年度支出决算3658.00万元，与上年（6936.92万元）相比，减少3278.92万元，减少47.27%。支出减少的主要原因是自然灾害救灾资金较上年大幅减少。资金主要用于部门行政运行、安全生产、防灾减灾救灾、应急救援、防汛抗旱工作。</w:t>
      </w:r>
    </w:p>
    <w:p w14:paraId="098AF240">
      <w:pPr>
        <w:widowControl/>
        <w:spacing w:line="576" w:lineRule="exact"/>
        <w:ind w:firstLine="640" w:firstLineChars="200"/>
        <w:jc w:val="left"/>
        <w:rPr>
          <w:rFonts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6C63352B">
      <w:pPr>
        <w:widowControl/>
        <w:spacing w:line="576" w:lineRule="exact"/>
        <w:ind w:firstLine="640" w:firstLineChars="200"/>
        <w:jc w:val="left"/>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0337216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基本支出1445.09万元，占总支出的39.51%。其中：人员经费1227.76万元，占基本支出的84.96%，主要包括基本工资、津贴补贴、奖金、机关事业单位基本养老保险缴费、职业年金缴费、职工基本医疗保险缴费、公务员医疗补助缴费、其他社会保障缴费、住房公积金、其他工资福利支出、生活补助、其他对个人和家庭的补助。2025年度人员经费支出与2024年度相比，增加16.13万元。公用经费217.34万元，占基本支出的15.04%，主要包括办公费、印刷费、咨询费、手续费、水费、电费、邮电费、差旅费、维修（护）费、租赁费、会议费、培训费、公务接待费、专用材料费、专用燃料费、劳务费、委托业务费、工会经费、福利费、其他交通费用、税金及附加费用、其他商品和服务支出、办公设备购置、专用设备购置、信息网络及软件购置更新。</w:t>
      </w:r>
    </w:p>
    <w:p w14:paraId="1D3402F0">
      <w:pPr>
        <w:widowControl/>
        <w:spacing w:line="576" w:lineRule="exact"/>
        <w:ind w:firstLine="640" w:firstLineChars="200"/>
        <w:jc w:val="left"/>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23AABF42">
      <w:pPr>
        <w:widowControl/>
        <w:spacing w:line="576"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项目支出2217.76万元，占总支出的60.63%。其中：工资福利支出1207.87万元，占财政拨款项目支出的54.46%；商品和服务支出568.35万元，占财政拨款项目支出的25.63%；对个人和家庭的补助1302.99万元，占财政拨款项目支出的58.76%；资本性支出432.65万元，占财政拨款项目支出的19.51%；对企业补助150.00万元，占财政拨款项目支出的6.76%。</w:t>
      </w:r>
    </w:p>
    <w:p w14:paraId="347DCF9B">
      <w:pPr>
        <w:widowControl/>
        <w:spacing w:line="576" w:lineRule="exact"/>
        <w:ind w:firstLine="640" w:firstLineChars="200"/>
        <w:jc w:val="left"/>
        <w:rPr>
          <w:rFonts w:hint="eastAsia" w:ascii="黑体" w:hAnsi="黑体" w:eastAsia="黑体" w:cs="宋体"/>
          <w:color w:val="000000"/>
          <w:kern w:val="0"/>
          <w:sz w:val="32"/>
          <w:szCs w:val="32"/>
        </w:rPr>
      </w:pPr>
    </w:p>
    <w:p w14:paraId="3DF4DA75">
      <w:pPr>
        <w:widowControl/>
        <w:spacing w:line="576" w:lineRule="exact"/>
        <w:ind w:firstLine="640" w:firstLineChars="200"/>
        <w:jc w:val="left"/>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三、政府性基金预算支出情况</w:t>
      </w:r>
    </w:p>
    <w:p w14:paraId="5A4DADFD">
      <w:pPr>
        <w:widowControl/>
        <w:spacing w:line="576" w:lineRule="exact"/>
        <w:ind w:firstLine="640" w:firstLineChars="200"/>
        <w:jc w:val="left"/>
        <w:rPr>
          <w:rFonts w:hint="eastAsia" w:ascii="黑体" w:hAnsi="黑体" w:eastAsia="黑体" w:cs="宋体"/>
          <w:color w:val="000000"/>
          <w:kern w:val="0"/>
          <w:sz w:val="32"/>
          <w:szCs w:val="32"/>
          <w:lang w:val="en-US" w:eastAsia="zh-CN"/>
        </w:rPr>
      </w:pPr>
      <w:r>
        <w:rPr>
          <w:rFonts w:hint="eastAsia" w:ascii="仿宋_GB2312" w:hAnsi="仿宋_GB2312" w:eastAsia="仿宋_GB2312" w:cs="仿宋_GB2312"/>
          <w:sz w:val="32"/>
          <w:szCs w:val="32"/>
          <w:lang w:val="en-US" w:eastAsia="zh-CN"/>
        </w:rPr>
        <w:t>无政府性基金预算支出。</w:t>
      </w:r>
    </w:p>
    <w:p w14:paraId="0EAB14DB">
      <w:pPr>
        <w:widowControl/>
        <w:spacing w:line="576" w:lineRule="exact"/>
        <w:ind w:firstLine="640" w:firstLineChars="200"/>
        <w:jc w:val="left"/>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四、国有资本经营预算支出情况</w:t>
      </w:r>
    </w:p>
    <w:p w14:paraId="78172D97">
      <w:pPr>
        <w:widowControl/>
        <w:spacing w:line="576"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无国有资本经营预算支出。</w:t>
      </w:r>
    </w:p>
    <w:p w14:paraId="69817BBC">
      <w:pPr>
        <w:widowControl/>
        <w:spacing w:line="576" w:lineRule="exact"/>
        <w:ind w:firstLine="640" w:firstLineChars="200"/>
        <w:jc w:val="left"/>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五、社会保险基金预算支出情况</w:t>
      </w:r>
    </w:p>
    <w:p w14:paraId="2BB87137">
      <w:pPr>
        <w:widowControl/>
        <w:spacing w:line="576" w:lineRule="exact"/>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无</w:t>
      </w:r>
      <w:r>
        <w:rPr>
          <w:rFonts w:hint="eastAsia" w:ascii="仿宋_GB2312" w:hAnsi="仿宋_GB2312" w:eastAsia="仿宋_GB2312" w:cs="仿宋_GB2312"/>
          <w:color w:val="000000"/>
          <w:kern w:val="0"/>
          <w:sz w:val="32"/>
          <w:szCs w:val="32"/>
        </w:rPr>
        <w:t>社会保险基金预算支出</w:t>
      </w:r>
      <w:r>
        <w:rPr>
          <w:rFonts w:hint="eastAsia" w:ascii="仿宋_GB2312" w:hAnsi="仿宋_GB2312" w:eastAsia="仿宋_GB2312" w:cs="仿宋_GB2312"/>
          <w:color w:val="000000"/>
          <w:kern w:val="0"/>
          <w:sz w:val="32"/>
          <w:szCs w:val="32"/>
          <w:lang w:eastAsia="zh-CN"/>
        </w:rPr>
        <w:t>。</w:t>
      </w:r>
    </w:p>
    <w:p w14:paraId="41709BB6">
      <w:pPr>
        <w:widowControl/>
        <w:spacing w:line="576" w:lineRule="exact"/>
        <w:ind w:firstLine="640" w:firstLineChars="200"/>
        <w:jc w:val="left"/>
        <w:rPr>
          <w:rFonts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7E559E3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rPr>
        <w:t>在预算资金管理方面，严格执行国家财政政策和相关法规，确保资金的合规使用和运行。通过优化预算分配结构，加大对重点领域和关键环节的投入，有效提升了资金的使用效益。同时，加强了对预算执行情况的监督和评估，及时发现和纠正问题，确保了预算资金的安全和有效使用。</w:t>
      </w:r>
    </w:p>
    <w:p w14:paraId="18DC4F88">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在运行成本控制方面，采取了多项措施，包括优化工作流程、提高设备使用效率、降低能耗等。通过精细化管理，有效降低了运行成本，提高了资源利用效率。同时，注重培养干职工的节约意识，形成了全员参与成本控制的良好氛围。</w:t>
      </w:r>
    </w:p>
    <w:p w14:paraId="369B715D">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在履职效能方面，积极履行职责，加强了对各类突发事件的监测预警和应对处置能力。通过完善应急预案体系、加强应急队伍建设、提高应急物资保障水平等措施，有效提升了应急管理水平。在应对各类突发事件中，迅速响应、科学决策、有效处置，最大程度地减少了人员伤亡和财产损失。</w:t>
      </w:r>
    </w:p>
    <w:p w14:paraId="389D0C0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在保障社会安全和稳定方面发挥了重要作用，产生了显著的社会效应。通过加强宣传教育，提高了公众安全意识、有效提升了全社会的应急能力和水平。在应对各类突发事件中，积极协调各方力量、动员社会资源、共同应对挑战，树立了良好的社会形象。</w:t>
      </w:r>
    </w:p>
    <w:p w14:paraId="7DB05AC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rPr>
        <w:t>各项项目具有明确的目标，项目实施过程中严格按照有关项目管理和经费管理规定执行，资金使用得当。明确项目执行计划、考核指标等事项，也制定了相应的管理制度或办法完成项目。各项项目的完成显著提升了基层自然灾害防治能力，风险普查成果，为自然灾害防治、应急管理等工作提供科学依据，减轻灾害损失效果显著，为推动全县经济社会高质量发展提供坚强的安全保障。</w:t>
      </w:r>
    </w:p>
    <w:p w14:paraId="05824EA4">
      <w:pPr>
        <w:widowControl/>
        <w:spacing w:line="576" w:lineRule="exact"/>
        <w:ind w:firstLine="640" w:firstLineChars="200"/>
        <w:jc w:val="left"/>
        <w:rPr>
          <w:rFonts w:ascii="黑体" w:hAnsi="黑体" w:eastAsia="黑体" w:cs="宋体"/>
          <w:color w:val="000000"/>
          <w:kern w:val="0"/>
          <w:sz w:val="32"/>
          <w:szCs w:val="32"/>
        </w:rPr>
      </w:pPr>
      <w:r>
        <w:rPr>
          <w:rFonts w:hint="eastAsia" w:ascii="黑体" w:hAnsi="黑体" w:eastAsia="黑体" w:cs="宋体"/>
          <w:color w:val="000000"/>
          <w:kern w:val="0"/>
          <w:sz w:val="32"/>
          <w:szCs w:val="32"/>
        </w:rPr>
        <w:t>七、存在的问题及原因分析</w:t>
      </w:r>
    </w:p>
    <w:p w14:paraId="323195B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人员素质有待进一步提高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由于预算绩效管理工作涉及面广，专业性强，加上缺乏系统的培训，无论是预算单位还是财政部门相关人员，对预算绩效管理理解不充分，对预算绩效管理业务不精通，在一定程度上影响了绩效评价工作质量。</w:t>
      </w:r>
    </w:p>
    <w:p w14:paraId="2001A6DF">
      <w:pPr>
        <w:widowControl/>
        <w:spacing w:line="576" w:lineRule="exact"/>
        <w:ind w:firstLine="640" w:firstLineChars="200"/>
        <w:jc w:val="left"/>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八、下一步改进措施</w:t>
      </w:r>
    </w:p>
    <w:p w14:paraId="1581601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预算管理，定期开展预算执行分析。通过定期对项目支出和预算执行情况进行梳理，及时掌握项目支出进度，督促项目实施单位早启动、早实施、早验收，对符合条件的项目按照项目进度支付相关款项，将预算资金管理贯穿于项目全过程中。对未启动项目支出及时分析原因，根据资金使用情况调整下年预算安排。</w:t>
      </w:r>
    </w:p>
    <w:p w14:paraId="44D93FE4">
      <w:pPr>
        <w:widowControl/>
        <w:spacing w:line="576" w:lineRule="exact"/>
        <w:ind w:firstLine="640" w:firstLineChars="200"/>
        <w:jc w:val="left"/>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九、绩效自评结果拟应用和公开情况</w:t>
      </w:r>
    </w:p>
    <w:p w14:paraId="2E1015C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整体支出绩效自评，增强了本单位的绩效评价主体责任意识，促进单位规范使用项目资金，将评价结果做为改进预算管理和财务管理以及以后年度预算安排的重要依据，对自评中发现的问题进行及时整改，加强预算管理和财务管理，完善管理制度，提高管理水平，增加财政资金使用的经济效益和社会效益。</w:t>
      </w:r>
    </w:p>
    <w:p w14:paraId="393A5E8A">
      <w:pPr>
        <w:widowControl/>
        <w:spacing w:line="576" w:lineRule="exact"/>
        <w:ind w:firstLine="640" w:firstLineChars="200"/>
        <w:jc w:val="left"/>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十、其他需要说明的情况</w:t>
      </w:r>
    </w:p>
    <w:p w14:paraId="55C4C3AE">
      <w:pPr>
        <w:ind w:firstLine="640" w:firstLineChars="200"/>
      </w:pPr>
      <w:r>
        <w:rPr>
          <w:rFonts w:hint="eastAsia" w:ascii="仿宋_GB2312" w:hAnsi="仿宋_GB2312" w:eastAsia="仿宋_GB2312" w:cs="仿宋_GB2312"/>
          <w:color w:val="000000"/>
          <w:kern w:val="0"/>
          <w:sz w:val="32"/>
          <w:szCs w:val="32"/>
          <w:lang w:eastAsia="zh-CN"/>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lNGJkZWZmYWY2NGRkZjQ3N2M2N2U0YmFhYzc5MzIifQ=="/>
  </w:docVars>
  <w:rsids>
    <w:rsidRoot w:val="004D059F"/>
    <w:rsid w:val="004D059F"/>
    <w:rsid w:val="00B51540"/>
    <w:rsid w:val="023C235A"/>
    <w:rsid w:val="1F5A1B29"/>
    <w:rsid w:val="21A74BE1"/>
    <w:rsid w:val="27176182"/>
    <w:rsid w:val="2A4D415B"/>
    <w:rsid w:val="52DD60AD"/>
    <w:rsid w:val="54AC5AE9"/>
    <w:rsid w:val="61FE4473"/>
    <w:rsid w:val="63686739"/>
    <w:rsid w:val="71DE355A"/>
    <w:rsid w:val="73751234"/>
    <w:rsid w:val="78737B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semiHidden/>
    <w:qFormat/>
    <w:uiPriority w:val="99"/>
    <w:rPr>
      <w:rFonts w:ascii="黑体" w:hAnsi="黑体" w:eastAsia="黑体" w:cs="黑体"/>
    </w:rPr>
  </w:style>
  <w:style w:type="paragraph" w:styleId="3">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sumstrong</Company>
  <Pages>6</Pages>
  <Words>2164</Words>
  <Characters>2334</Characters>
  <Lines>5</Lines>
  <Paragraphs>1</Paragraphs>
  <TotalTime>127</TotalTime>
  <ScaleCrop>false</ScaleCrop>
  <LinksUpToDate>false</LinksUpToDate>
  <CharactersWithSpaces>2335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2024-06-21T08:06:00Z</dcterms:created>
  <dc:creator>40100102</dc:creator>
  <cp:lastModifiedBy>一个瑶</cp:lastModifiedBy>
  <cp:lastPrinted>2026-05-07T10:08:41Z</cp:lastPrinted>
  <dcterms:modified xsi:type="dcterms:W3CDTF">2026-05-07T10:20:24Z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CA12335CC2814612AF743B5E7F27B922_13</vt:lpwstr>
  </property>
  <property fmtid="{D5CDD505-2E9C-101B-9397-08002B2CF9AE}" pid="4" name="KSOTemplateDocerSaveRecord">
    <vt:lpwstr>eyJoZGlkIjoiMDJlNGJkZWZmYWY2NGRkZjQ3N2M2N2U0YmFhYzc5MzIiLCJ1c2VySWQiOiIzMTQ0MzU2MzIifQ==</vt:lpwstr>
  </property>
</Properties>
</file>