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368472">
      <w:pPr>
        <w:rPr>
          <w:rFonts w:hint="eastAsia" w:ascii="黑体" w:hAnsi="黑体" w:eastAsia="黑体" w:cs="仿宋"/>
          <w:sz w:val="32"/>
          <w:szCs w:val="32"/>
          <w:lang w:val="en-US" w:eastAsia="zh-CN"/>
        </w:rPr>
      </w:pPr>
      <w:r>
        <w:rPr>
          <w:rFonts w:hint="eastAsia" w:ascii="黑体" w:hAnsi="黑体" w:eastAsia="黑体" w:cs="仿宋"/>
          <w:sz w:val="32"/>
          <w:szCs w:val="32"/>
          <w:lang w:eastAsia="zh-CN"/>
        </w:rPr>
        <w:t>附件</w:t>
      </w:r>
      <w:r>
        <w:rPr>
          <w:rFonts w:hint="eastAsia" w:ascii="黑体" w:hAnsi="黑体" w:eastAsia="黑体" w:cs="仿宋"/>
          <w:sz w:val="32"/>
          <w:szCs w:val="32"/>
          <w:lang w:val="en-US" w:eastAsia="zh-CN"/>
        </w:rPr>
        <w:t>4</w:t>
      </w:r>
    </w:p>
    <w:p w14:paraId="1D066B8B">
      <w:pPr>
        <w:rPr>
          <w:rFonts w:hint="eastAsia" w:ascii="黑体" w:hAnsi="黑体" w:eastAsia="黑体" w:cs="仿宋"/>
          <w:sz w:val="32"/>
          <w:szCs w:val="32"/>
          <w:lang w:val="en-US" w:eastAsia="zh-CN"/>
        </w:rPr>
      </w:pPr>
    </w:p>
    <w:p w14:paraId="57BB3764">
      <w:pPr>
        <w:rPr>
          <w:rFonts w:hint="eastAsia" w:ascii="黑体" w:hAnsi="黑体" w:eastAsia="黑体" w:cs="仿宋"/>
          <w:sz w:val="32"/>
          <w:szCs w:val="32"/>
          <w:lang w:val="en-US" w:eastAsia="zh-CN"/>
        </w:rPr>
      </w:pPr>
    </w:p>
    <w:p w14:paraId="1F62AAFF">
      <w:pPr>
        <w:rPr>
          <w:rFonts w:hint="eastAsia" w:ascii="黑体" w:hAnsi="黑体" w:eastAsia="黑体" w:cs="仿宋"/>
          <w:sz w:val="32"/>
          <w:szCs w:val="32"/>
          <w:lang w:val="en-US" w:eastAsia="zh-CN"/>
        </w:rPr>
      </w:pPr>
    </w:p>
    <w:p w14:paraId="7347A9DD">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val="en-US" w:eastAsia="zh-CN"/>
        </w:rPr>
      </w:pPr>
      <w:r>
        <w:rPr>
          <w:rFonts w:hint="eastAsia" w:ascii="微软雅黑" w:hAnsi="微软雅黑" w:eastAsia="微软雅黑" w:cs="微软雅黑"/>
          <w:sz w:val="52"/>
          <w:szCs w:val="52"/>
          <w:lang w:val="en-US" w:eastAsia="zh-CN"/>
        </w:rPr>
        <w:t>2025年度安化县住房和城乡建设局</w:t>
      </w:r>
    </w:p>
    <w:p w14:paraId="1BB9B55C">
      <w:pPr>
        <w:keepNext w:val="0"/>
        <w:keepLines w:val="0"/>
        <w:pageBreakBefore w:val="0"/>
        <w:widowControl/>
        <w:kinsoku/>
        <w:wordWrap/>
        <w:overflowPunct/>
        <w:topLinePunct w:val="0"/>
        <w:autoSpaceDE/>
        <w:autoSpaceDN/>
        <w:bidi w:val="0"/>
        <w:adjustRightInd/>
        <w:snapToGrid/>
        <w:spacing w:line="700" w:lineRule="exact"/>
        <w:jc w:val="center"/>
        <w:textAlignment w:val="auto"/>
        <w:rPr>
          <w:rFonts w:hint="eastAsia" w:ascii="微软雅黑" w:hAnsi="微软雅黑" w:eastAsia="微软雅黑" w:cs="微软雅黑"/>
          <w:sz w:val="52"/>
          <w:szCs w:val="52"/>
          <w:lang w:eastAsia="zh-CN"/>
        </w:rPr>
      </w:pPr>
      <w:r>
        <w:rPr>
          <w:rFonts w:hint="eastAsia" w:ascii="微软雅黑" w:hAnsi="微软雅黑" w:eastAsia="微软雅黑" w:cs="微软雅黑"/>
          <w:sz w:val="52"/>
          <w:szCs w:val="52"/>
        </w:rPr>
        <w:t>整体支出</w:t>
      </w:r>
      <w:r>
        <w:rPr>
          <w:rFonts w:hint="eastAsia" w:ascii="微软雅黑" w:hAnsi="微软雅黑" w:eastAsia="微软雅黑" w:cs="微软雅黑"/>
          <w:sz w:val="52"/>
          <w:szCs w:val="52"/>
          <w:lang w:eastAsia="zh-CN"/>
        </w:rPr>
        <w:t>绩效自评报告</w:t>
      </w:r>
    </w:p>
    <w:p w14:paraId="259CC34B">
      <w:pPr>
        <w:widowControl/>
        <w:ind w:firstLine="361" w:firstLineChars="100"/>
        <w:rPr>
          <w:rFonts w:ascii="楷体" w:hAnsi="楷体" w:eastAsia="楷体" w:cs="楷体"/>
          <w:b/>
          <w:bCs/>
          <w:kern w:val="0"/>
          <w:sz w:val="36"/>
          <w:szCs w:val="36"/>
        </w:rPr>
      </w:pPr>
    </w:p>
    <w:p w14:paraId="40A63115"/>
    <w:p w14:paraId="23DC1C5C">
      <w:pPr>
        <w:rPr>
          <w:rFonts w:ascii="楷体" w:hAnsi="楷体" w:eastAsia="楷体" w:cs="楷体"/>
          <w:b/>
          <w:bCs/>
          <w:kern w:val="0"/>
          <w:sz w:val="36"/>
          <w:szCs w:val="36"/>
        </w:rPr>
      </w:pPr>
    </w:p>
    <w:p w14:paraId="1FCF5A19">
      <w:pPr>
        <w:rPr>
          <w:rFonts w:ascii="楷体" w:hAnsi="楷体" w:eastAsia="楷体" w:cs="楷体"/>
          <w:b/>
          <w:bCs/>
          <w:kern w:val="0"/>
          <w:sz w:val="36"/>
          <w:szCs w:val="36"/>
        </w:rPr>
      </w:pPr>
    </w:p>
    <w:p w14:paraId="4BA370F2">
      <w:pPr>
        <w:rPr>
          <w:rFonts w:ascii="楷体" w:hAnsi="楷体" w:eastAsia="楷体" w:cs="楷体"/>
          <w:b/>
          <w:bCs/>
          <w:kern w:val="0"/>
          <w:sz w:val="36"/>
          <w:szCs w:val="36"/>
        </w:rPr>
      </w:pPr>
    </w:p>
    <w:p w14:paraId="23F8E7A8">
      <w:pPr>
        <w:rPr>
          <w:rFonts w:ascii="楷体" w:hAnsi="楷体" w:eastAsia="楷体" w:cs="楷体"/>
          <w:b/>
          <w:bCs/>
          <w:kern w:val="0"/>
          <w:sz w:val="36"/>
          <w:szCs w:val="36"/>
        </w:rPr>
      </w:pPr>
    </w:p>
    <w:p w14:paraId="3427B930">
      <w:pPr>
        <w:pStyle w:val="5"/>
      </w:pPr>
    </w:p>
    <w:p w14:paraId="311F1E4D">
      <w:pPr>
        <w:widowControl/>
        <w:ind w:firstLine="361" w:firstLineChars="100"/>
        <w:rPr>
          <w:rFonts w:hint="eastAsia" w:ascii="楷体" w:hAnsi="楷体" w:eastAsia="楷体" w:cs="楷体"/>
          <w:b/>
          <w:bCs/>
          <w:kern w:val="0"/>
          <w:sz w:val="36"/>
          <w:szCs w:val="36"/>
        </w:rPr>
      </w:pPr>
    </w:p>
    <w:p w14:paraId="70454183">
      <w:pPr>
        <w:widowControl/>
        <w:jc w:val="center"/>
        <w:rPr>
          <w:rFonts w:hint="eastAsia" w:ascii="黑体" w:hAnsi="黑体" w:eastAsia="黑体" w:cs="黑体"/>
          <w:b w:val="0"/>
          <w:bCs w:val="0"/>
          <w:kern w:val="0"/>
          <w:sz w:val="48"/>
          <w:szCs w:val="48"/>
          <w:u w:val="single"/>
          <w:lang w:eastAsia="zh-CN"/>
        </w:rPr>
      </w:pPr>
      <w:r>
        <w:rPr>
          <w:rFonts w:hint="eastAsia" w:ascii="微软雅黑" w:hAnsi="仿宋" w:eastAsia="微软雅黑" w:cs="宋体"/>
          <w:b w:val="0"/>
          <w:bCs/>
          <w:kern w:val="0"/>
          <w:sz w:val="44"/>
          <w:szCs w:val="44"/>
          <w:lang w:eastAsia="zh-CN"/>
        </w:rPr>
        <w:t>安化县住房和城乡建设局</w:t>
      </w:r>
    </w:p>
    <w:p w14:paraId="364D5A88">
      <w:pPr>
        <w:jc w:val="center"/>
        <w:rPr>
          <w:rFonts w:hint="eastAsia" w:ascii="黑体" w:hAnsi="黑体" w:eastAsia="黑体" w:cs="黑体"/>
          <w:b w:val="0"/>
          <w:bCs w:val="0"/>
          <w:kern w:val="0"/>
          <w:sz w:val="36"/>
          <w:szCs w:val="36"/>
        </w:rPr>
      </w:pPr>
      <w:r>
        <w:rPr>
          <w:rFonts w:hint="eastAsia" w:ascii="黑体" w:hAnsi="黑体" w:eastAsia="黑体" w:cs="黑体"/>
          <w:b w:val="0"/>
          <w:bCs w:val="0"/>
          <w:kern w:val="0"/>
          <w:sz w:val="36"/>
          <w:szCs w:val="36"/>
          <w:lang w:val="en-US" w:eastAsia="zh-CN"/>
        </w:rPr>
        <w:t>2026</w:t>
      </w:r>
      <w:r>
        <w:rPr>
          <w:rFonts w:hint="eastAsia" w:ascii="黑体" w:hAnsi="黑体" w:eastAsia="黑体" w:cs="黑体"/>
          <w:b w:val="0"/>
          <w:bCs w:val="0"/>
          <w:kern w:val="0"/>
          <w:sz w:val="36"/>
          <w:szCs w:val="36"/>
        </w:rPr>
        <w:t xml:space="preserve">年 </w:t>
      </w:r>
      <w:r>
        <w:rPr>
          <w:rFonts w:hint="eastAsia" w:ascii="黑体" w:hAnsi="黑体" w:eastAsia="黑体" w:cs="黑体"/>
          <w:b w:val="0"/>
          <w:bCs w:val="0"/>
          <w:kern w:val="0"/>
          <w:sz w:val="36"/>
          <w:szCs w:val="36"/>
          <w:lang w:val="en-US" w:eastAsia="zh-CN"/>
        </w:rPr>
        <w:t>04</w:t>
      </w:r>
      <w:r>
        <w:rPr>
          <w:rFonts w:hint="eastAsia" w:ascii="黑体" w:hAnsi="黑体" w:eastAsia="黑体" w:cs="黑体"/>
          <w:b w:val="0"/>
          <w:bCs w:val="0"/>
          <w:kern w:val="0"/>
          <w:sz w:val="36"/>
          <w:szCs w:val="36"/>
        </w:rPr>
        <w:t xml:space="preserve"> 月 </w:t>
      </w:r>
      <w:r>
        <w:rPr>
          <w:rFonts w:hint="eastAsia" w:ascii="黑体" w:hAnsi="黑体" w:eastAsia="黑体" w:cs="黑体"/>
          <w:b w:val="0"/>
          <w:bCs w:val="0"/>
          <w:kern w:val="0"/>
          <w:sz w:val="36"/>
          <w:szCs w:val="36"/>
          <w:lang w:val="en-US" w:eastAsia="zh-CN"/>
        </w:rPr>
        <w:t>25</w:t>
      </w:r>
      <w:r>
        <w:rPr>
          <w:rFonts w:hint="eastAsia" w:ascii="黑体" w:hAnsi="黑体" w:eastAsia="黑体" w:cs="黑体"/>
          <w:b w:val="0"/>
          <w:bCs w:val="0"/>
          <w:kern w:val="0"/>
          <w:sz w:val="36"/>
          <w:szCs w:val="36"/>
        </w:rPr>
        <w:t xml:space="preserve"> 日</w:t>
      </w:r>
    </w:p>
    <w:p w14:paraId="050869BD">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528CE047">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45463FC1">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7C4D17F1">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0836ADC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441B7E5B">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lang w:val="en-US" w:eastAsia="zh-CN"/>
        </w:rPr>
      </w:pPr>
    </w:p>
    <w:p w14:paraId="7DB7254A">
      <w:pPr>
        <w:keepNext w:val="0"/>
        <w:keepLines w:val="0"/>
        <w:pageBreakBefore w:val="0"/>
        <w:widowControl/>
        <w:kinsoku/>
        <w:wordWrap/>
        <w:overflowPunct/>
        <w:topLinePunct w:val="0"/>
        <w:autoSpaceDE/>
        <w:autoSpaceDN w:val="0"/>
        <w:bidi w:val="0"/>
        <w:adjustRightInd/>
        <w:snapToGrid/>
        <w:spacing w:line="576" w:lineRule="exact"/>
        <w:jc w:val="both"/>
        <w:textAlignment w:val="auto"/>
        <w:rPr>
          <w:rFonts w:hint="eastAsia" w:ascii="微软雅黑" w:hAnsi="仿宋" w:eastAsia="微软雅黑" w:cs="宋体"/>
          <w:b w:val="0"/>
          <w:bCs/>
          <w:kern w:val="0"/>
          <w:sz w:val="44"/>
          <w:szCs w:val="44"/>
          <w:lang w:val="en-US" w:eastAsia="zh-CN"/>
        </w:rPr>
      </w:pPr>
    </w:p>
    <w:p w14:paraId="25A9E63E">
      <w:pPr>
        <w:keepNext w:val="0"/>
        <w:keepLines w:val="0"/>
        <w:pageBreakBefore w:val="0"/>
        <w:widowControl/>
        <w:kinsoku/>
        <w:wordWrap/>
        <w:overflowPunct/>
        <w:topLinePunct w:val="0"/>
        <w:autoSpaceDE/>
        <w:autoSpaceDN w:val="0"/>
        <w:bidi w:val="0"/>
        <w:adjustRightInd/>
        <w:snapToGrid/>
        <w:spacing w:line="576" w:lineRule="exact"/>
        <w:jc w:val="center"/>
        <w:textAlignment w:val="auto"/>
        <w:rPr>
          <w:rFonts w:hint="eastAsia" w:ascii="微软雅黑" w:hAnsi="仿宋" w:eastAsia="微软雅黑" w:cs="宋体"/>
          <w:b w:val="0"/>
          <w:bCs/>
          <w:kern w:val="0"/>
          <w:sz w:val="44"/>
          <w:szCs w:val="44"/>
        </w:rPr>
      </w:pPr>
      <w:r>
        <w:rPr>
          <w:rFonts w:hint="eastAsia" w:ascii="微软雅黑" w:hAnsi="仿宋" w:eastAsia="微软雅黑" w:cs="宋体"/>
          <w:b w:val="0"/>
          <w:bCs/>
          <w:kern w:val="0"/>
          <w:sz w:val="44"/>
          <w:szCs w:val="44"/>
          <w:lang w:val="en-US" w:eastAsia="zh-CN"/>
        </w:rPr>
        <w:t>2025</w:t>
      </w:r>
      <w:r>
        <w:rPr>
          <w:rFonts w:hint="eastAsia" w:ascii="微软雅黑" w:hAnsi="仿宋" w:eastAsia="微软雅黑" w:cs="宋体"/>
          <w:b w:val="0"/>
          <w:bCs/>
          <w:kern w:val="0"/>
          <w:sz w:val="44"/>
          <w:szCs w:val="44"/>
        </w:rPr>
        <w:t>年度</w:t>
      </w:r>
      <w:r>
        <w:rPr>
          <w:rFonts w:hint="eastAsia" w:ascii="微软雅黑" w:hAnsi="仿宋" w:eastAsia="微软雅黑" w:cs="宋体"/>
          <w:b w:val="0"/>
          <w:bCs/>
          <w:kern w:val="0"/>
          <w:sz w:val="44"/>
          <w:szCs w:val="44"/>
          <w:lang w:eastAsia="zh-CN"/>
        </w:rPr>
        <w:t>安化县住房和城乡建设局</w:t>
      </w:r>
      <w:r>
        <w:rPr>
          <w:rFonts w:hint="eastAsia" w:ascii="微软雅黑" w:hAnsi="仿宋" w:eastAsia="微软雅黑" w:cs="宋体"/>
          <w:b w:val="0"/>
          <w:bCs/>
          <w:kern w:val="0"/>
          <w:sz w:val="44"/>
          <w:szCs w:val="44"/>
        </w:rPr>
        <w:t>整体支出绩效自评报告</w:t>
      </w:r>
    </w:p>
    <w:p w14:paraId="206A688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一、部门(单位)基本情况</w:t>
      </w:r>
    </w:p>
    <w:p w14:paraId="20C11F4E">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w:t>
      </w:r>
      <w:r>
        <w:rPr>
          <w:rFonts w:hint="eastAsia" w:ascii="楷体_GB2312" w:hAnsi="楷体_GB2312" w:eastAsia="楷体_GB2312" w:cs="楷体_GB2312"/>
          <w:color w:val="000000"/>
          <w:kern w:val="0"/>
          <w:sz w:val="32"/>
          <w:szCs w:val="32"/>
          <w:lang w:eastAsia="zh-CN"/>
        </w:rPr>
        <w:t>2025</w:t>
      </w:r>
      <w:r>
        <w:rPr>
          <w:rFonts w:hint="eastAsia" w:ascii="楷体_GB2312" w:hAnsi="楷体_GB2312" w:eastAsia="楷体_GB2312" w:cs="楷体_GB2312"/>
          <w:color w:val="000000"/>
          <w:kern w:val="0"/>
          <w:sz w:val="32"/>
          <w:szCs w:val="32"/>
        </w:rPr>
        <w:t>年度重点工作</w:t>
      </w:r>
    </w:p>
    <w:p w14:paraId="642AEC9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outlineLvl w:val="9"/>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pPr>
      <w:r>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t>1、城市更新提质行动</w:t>
      </w:r>
    </w:p>
    <w:p w14:paraId="241C1B8A">
      <w:pPr>
        <w:keepNext w:val="0"/>
        <w:keepLines w:val="0"/>
        <w:pageBreakBefore w:val="0"/>
        <w:kinsoku/>
        <w:wordWrap/>
        <w:overflowPunct/>
        <w:topLinePunct w:val="0"/>
        <w:bidi w:val="0"/>
        <w:spacing w:before="0" w:beforeLines="0" w:after="0" w:afterLines="0" w:line="600" w:lineRule="exact"/>
        <w:ind w:left="0" w:leftChars="0" w:right="0" w:rightChars="0" w:firstLine="643" w:firstLineChars="200"/>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污水项目建设系统推进。</w:t>
      </w:r>
      <w:r>
        <w:rPr>
          <w:rFonts w:hint="eastAsia" w:ascii="仿宋_GB2312" w:hAnsi="仿宋_GB2312" w:eastAsia="仿宋_GB2312" w:cs="仿宋_GB2312"/>
          <w:b w:val="0"/>
          <w:bCs w:val="0"/>
          <w:color w:val="auto"/>
          <w:kern w:val="2"/>
          <w:sz w:val="32"/>
          <w:szCs w:val="32"/>
          <w:highlight w:val="none"/>
          <w:lang w:val="en-US" w:eastAsia="zh-CN" w:bidi="ar-SA"/>
        </w:rPr>
        <w:t>推进资江流域黑臭水体整治PPP项目后续工程扫尾，新建污水管网</w:t>
      </w:r>
      <w:r>
        <w:rPr>
          <w:rFonts w:hint="eastAsia" w:ascii="仿宋_GB2312" w:hAnsi="仿宋_GB2312" w:eastAsia="仿宋_GB2312" w:cs="仿宋_GB2312"/>
          <w:color w:val="auto"/>
          <w:sz w:val="32"/>
          <w:szCs w:val="32"/>
        </w:rPr>
        <w:t>12.9</w:t>
      </w:r>
      <w:r>
        <w:rPr>
          <w:rFonts w:hint="eastAsia" w:ascii="仿宋_GB2312" w:hAnsi="仿宋_GB2312" w:eastAsia="仿宋_GB2312" w:cs="仿宋_GB2312"/>
          <w:b w:val="0"/>
          <w:bCs w:val="0"/>
          <w:color w:val="auto"/>
          <w:kern w:val="2"/>
          <w:sz w:val="32"/>
          <w:szCs w:val="32"/>
          <w:highlight w:val="none"/>
          <w:lang w:val="en-US" w:eastAsia="zh-CN" w:bidi="ar-SA"/>
        </w:rPr>
        <w:t>公里、一体化污水处理站4座；完成洞庭湖总磷削减及“夏季攻势”任务，新建或改造管网3.4公里；完成烟溪镇2处排水口整治。</w:t>
      </w:r>
    </w:p>
    <w:p w14:paraId="0130F13C">
      <w:pPr>
        <w:keepNext w:val="0"/>
        <w:keepLines w:val="0"/>
        <w:pageBreakBefore w:val="0"/>
        <w:kinsoku/>
        <w:wordWrap/>
        <w:overflowPunct/>
        <w:topLinePunct w:val="0"/>
        <w:bidi w:val="0"/>
        <w:spacing w:before="0" w:beforeLines="0" w:after="0" w:afterLines="0" w:line="600" w:lineRule="exact"/>
        <w:ind w:left="0" w:leftChars="0" w:right="0" w:rightChars="0" w:firstLine="643" w:firstLineChars="200"/>
        <w:textAlignment w:val="auto"/>
        <w:outlineLvl w:val="9"/>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bCs/>
          <w:color w:val="auto"/>
          <w:sz w:val="32"/>
          <w:szCs w:val="32"/>
        </w:rPr>
        <w:t>市政设施运维精细规范。</w:t>
      </w:r>
      <w:r>
        <w:rPr>
          <w:rFonts w:hint="eastAsia" w:ascii="仿宋_GB2312" w:hAnsi="仿宋_GB2312" w:eastAsia="仿宋_GB2312" w:cs="仿宋_GB2312"/>
          <w:b w:val="0"/>
          <w:bCs w:val="0"/>
          <w:color w:val="auto"/>
          <w:sz w:val="32"/>
          <w:szCs w:val="32"/>
        </w:rPr>
        <w:t>加强乡镇生活垃圾收转运监管，保障体系稳定运行。强化县城排水管网与泵站维护，全年更换井盖70个、疏通管道1200米、维修管沟51米，确保设施安全高效运行。</w:t>
      </w:r>
    </w:p>
    <w:p w14:paraId="5DF63596">
      <w:pPr>
        <w:keepNext w:val="0"/>
        <w:keepLines w:val="0"/>
        <w:pageBreakBefore w:val="0"/>
        <w:kinsoku/>
        <w:wordWrap/>
        <w:overflowPunct/>
        <w:topLinePunct w:val="0"/>
        <w:bidi w:val="0"/>
        <w:spacing w:before="0" w:beforeLines="0" w:after="0" w:afterLines="0" w:line="600" w:lineRule="exact"/>
        <w:ind w:left="0" w:leftChars="0" w:right="0" w:rightChars="0" w:firstLine="643" w:firstLineChars="200"/>
        <w:textAlignment w:val="auto"/>
        <w:outlineLvl w:val="9"/>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bCs/>
          <w:color w:val="auto"/>
          <w:kern w:val="2"/>
          <w:sz w:val="32"/>
          <w:szCs w:val="32"/>
          <w:highlight w:val="none"/>
          <w:lang w:val="en-US" w:eastAsia="zh-CN" w:bidi="ar-SA"/>
        </w:rPr>
        <w:t>绿色建筑全面推广。</w:t>
      </w:r>
      <w:r>
        <w:rPr>
          <w:rFonts w:hint="eastAsia" w:ascii="仿宋_GB2312" w:hAnsi="仿宋_GB2312" w:eastAsia="仿宋_GB2312" w:cs="仿宋_GB2312"/>
          <w:b w:val="0"/>
          <w:bCs w:val="0"/>
          <w:color w:val="auto"/>
          <w:kern w:val="2"/>
          <w:sz w:val="32"/>
          <w:szCs w:val="32"/>
          <w:highlight w:val="none"/>
          <w:lang w:val="en-US" w:eastAsia="zh-CN" w:bidi="ar-SA"/>
        </w:rPr>
        <w:t>完成装配式建筑总产值15.5亿元；建筑节能备案验收项目24个，面积33.94万平方米；完成施工图审查备案16项，审查率100%。</w:t>
      </w:r>
    </w:p>
    <w:p w14:paraId="5928776E">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outlineLvl w:val="9"/>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pPr>
      <w:r>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t>2、住房保障与房地产市场稳控</w:t>
      </w:r>
    </w:p>
    <w:p w14:paraId="69585F56">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eastAsia" w:ascii="仿宋_GB2312" w:hAnsi="仿宋_GB2312" w:eastAsia="仿宋_GB2312" w:cs="仿宋_GB2312"/>
          <w:b w:val="0"/>
          <w:bCs w:val="0"/>
          <w:color w:val="auto"/>
          <w:kern w:val="0"/>
          <w:sz w:val="32"/>
          <w:szCs w:val="32"/>
          <w:highlight w:val="none"/>
          <w:lang w:val="en-US" w:eastAsia="zh-CN" w:bidi="ar-SA"/>
        </w:rPr>
      </w:pPr>
      <w:r>
        <w:rPr>
          <w:rFonts w:hint="default" w:ascii="仿宋_GB2312" w:hAnsi="仿宋_GB2312" w:eastAsia="仿宋_GB2312" w:cs="仿宋_GB2312"/>
          <w:color w:val="auto"/>
          <w:sz w:val="32"/>
          <w:szCs w:val="32"/>
          <w:lang w:val="en-US" w:eastAsia="zh-CN"/>
        </w:rPr>
        <w:t>危房改造：</w:t>
      </w:r>
      <w:r>
        <w:rPr>
          <w:rFonts w:hint="eastAsia" w:ascii="仿宋_GB2312" w:hAnsi="仿宋_GB2312" w:eastAsia="仿宋_GB2312" w:cs="仿宋_GB2312"/>
          <w:b w:val="0"/>
          <w:bCs w:val="0"/>
          <w:color w:val="auto"/>
          <w:kern w:val="0"/>
          <w:sz w:val="32"/>
          <w:szCs w:val="32"/>
          <w:highlight w:val="none"/>
          <w:lang w:val="en-US" w:eastAsia="zh-CN" w:bidi="ar-SA"/>
        </w:rPr>
        <w:t>全年完成危房改造264户，完成率106%，补助资金618万元；培训乡村建设工匠85人、继续教育125人；建立健全乡镇监管机制和建房管理台账，推动农村住房建设管理规范化、制度化。</w:t>
      </w:r>
    </w:p>
    <w:p w14:paraId="239A0153">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房地产风险化解：</w:t>
      </w:r>
      <w:r>
        <w:rPr>
          <w:rFonts w:hint="eastAsia" w:ascii="仿宋_GB2312" w:hAnsi="仿宋_GB2312" w:eastAsia="仿宋_GB2312" w:cs="仿宋_GB2312"/>
          <w:color w:val="auto"/>
          <w:sz w:val="32"/>
          <w:szCs w:val="32"/>
          <w:highlight w:val="none"/>
          <w:lang w:val="en-US" w:eastAsia="zh-CN"/>
        </w:rPr>
        <w:t>商品房销售面积22.12万平方米，同比增长23.4%，增速全市第一；销售金额10.12亿元，同比增长23.2%；完成房地产开发投资6.1亿元，同比减少11.5%，增速全市第三</w:t>
      </w:r>
      <w:r>
        <w:rPr>
          <w:rFonts w:hint="eastAsia" w:ascii="仿宋_GB2312" w:hAnsi="仿宋_GB2312" w:eastAsia="仿宋_GB2312" w:cs="仿宋_GB2312"/>
          <w:b w:val="0"/>
          <w:bCs w:val="0"/>
          <w:i w:val="0"/>
          <w:iCs w:val="0"/>
          <w:caps w:val="0"/>
          <w:color w:val="auto"/>
          <w:spacing w:val="0"/>
          <w:kern w:val="2"/>
          <w:sz w:val="32"/>
          <w:szCs w:val="32"/>
          <w:highlight w:val="none"/>
          <w:shd w:val="clear" w:color="auto" w:fill="FFFFFF"/>
          <w:lang w:val="en-US" w:eastAsia="zh-CN" w:bidi="ar-SA"/>
        </w:rPr>
        <w:t>。</w:t>
      </w:r>
      <w:r>
        <w:rPr>
          <w:rFonts w:hint="eastAsia" w:ascii="仿宋_GB2312" w:hAnsi="仿宋_GB2312" w:eastAsia="仿宋_GB2312" w:cs="仿宋_GB2312"/>
          <w:b w:val="0"/>
          <w:bCs w:val="0"/>
          <w:i w:val="0"/>
          <w:iCs w:val="0"/>
          <w:caps w:val="0"/>
          <w:color w:val="auto"/>
          <w:spacing w:val="0"/>
          <w:sz w:val="32"/>
          <w:szCs w:val="32"/>
          <w:highlight w:val="none"/>
          <w:shd w:val="clear" w:color="auto" w:fill="FFFFFF"/>
          <w:lang w:eastAsia="zh-CN"/>
        </w:rPr>
        <w:t>核发预售许可证13宗，发放房票1138张，网签备案1038户，激活市场潜力。碧桂园、水韵山城二期等保交房项目扎实推进，有效化解嘉和二期等问题楼盘，维护群众权益。</w:t>
      </w:r>
    </w:p>
    <w:p w14:paraId="2F98EEB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outlineLvl w:val="9"/>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pPr>
      <w:r>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t>3、城乡基础设施与人居环境提升</w:t>
      </w:r>
    </w:p>
    <w:p w14:paraId="160D1780">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城乡污水治理：推进乡镇污水处理设施建设与提标改造，持续整治资江流域黑臭水体，完善城乡环卫一体化体系。</w:t>
      </w:r>
    </w:p>
    <w:p w14:paraId="062F9DD0">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燃气安全整治：</w:t>
      </w:r>
      <w:r>
        <w:rPr>
          <w:rFonts w:hint="eastAsia" w:ascii="仿宋_GB2312" w:hAnsi="仿宋_GB2312" w:eastAsia="仿宋_GB2312" w:cs="仿宋_GB2312"/>
          <w:b w:val="0"/>
          <w:bCs/>
          <w:i w:val="0"/>
          <w:caps w:val="0"/>
          <w:color w:val="auto"/>
          <w:spacing w:val="0"/>
          <w:sz w:val="32"/>
          <w:szCs w:val="32"/>
          <w:shd w:val="clear" w:color="auto" w:fill="FFFFFF"/>
          <w:lang w:val="en-US" w:eastAsia="zh-CN"/>
        </w:rPr>
        <w:t>完成燃气企业四轮季度检查，整改场站隐患24处；联合排查餐饮等重点场所，整改用户端隐患85处。查处燃气非法储存经营等案件3起，查获钢瓶32只；推行实名制购气，实行送气工扣分管理，规范配送末端的安全。开展LNG事故应急演练，提升处置能力。</w:t>
      </w:r>
    </w:p>
    <w:p w14:paraId="0A3403BE">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农村人居环境改善：强化农村自建房安全监管，推进危房改造；治理城乡污水，完善垃圾收运体系</w:t>
      </w:r>
      <w:r>
        <w:rPr>
          <w:rFonts w:hint="eastAsia" w:ascii="仿宋_GB2312" w:hAnsi="仿宋_GB2312" w:eastAsia="仿宋_GB2312" w:cs="仿宋_GB2312"/>
          <w:color w:val="auto"/>
          <w:sz w:val="32"/>
          <w:szCs w:val="32"/>
          <w:lang w:val="en-US" w:eastAsia="zh-CN"/>
        </w:rPr>
        <w:t>。</w:t>
      </w:r>
    </w:p>
    <w:p w14:paraId="4392857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outlineLvl w:val="9"/>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pPr>
      <w:r>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t>4、建筑市场与行业监管</w:t>
      </w:r>
    </w:p>
    <w:p w14:paraId="252DC0E6">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市场秩序规范：深化 “双随机、一公开” 监管，严查工程质量安全、招投标、资质管理等违法违规行为；整治预拌混凝土行业，巩固非法站点拆除整合成果。</w:t>
      </w:r>
    </w:p>
    <w:p w14:paraId="0AC6331C">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绿色低碳转型：推广绿色建筑与装配式建筑，确保新建项目 100% 落实海绵城市设计要求，推动建筑行业低碳发展。</w:t>
      </w:r>
    </w:p>
    <w:p w14:paraId="60556FF6">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工程审批改革：优化审批流程，压缩办理时限，提升营商环境；强化项目全过程监管，保障工程质量与施工安全。</w:t>
      </w:r>
    </w:p>
    <w:p w14:paraId="4B17D42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outlineLvl w:val="9"/>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pPr>
      <w:r>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t>5、安全生产与信访维稳</w:t>
      </w:r>
    </w:p>
    <w:p w14:paraId="77991442">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安全隐患整治：深化网格化安全巡查，聚焦燃气、工程质量、自建房等领域，保持 “打非治违” 高压态势；推进居民自建房安全专项整治 “回头看”，确保隐患动态清零。</w:t>
      </w:r>
    </w:p>
    <w:p w14:paraId="207E2826">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信访矛盾化解：落实领导包案制，动态清零信访积案；优化 “三方联动” 治理机制，重点化解房地产、物业等领域信访问题。</w:t>
      </w:r>
    </w:p>
    <w:p w14:paraId="2AF0A172">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600" w:lineRule="exact"/>
        <w:ind w:right="0" w:rightChars="0" w:firstLine="640" w:firstLineChars="200"/>
        <w:jc w:val="both"/>
        <w:textAlignment w:val="auto"/>
        <w:outlineLvl w:val="9"/>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pPr>
      <w:r>
        <w:rPr>
          <w:rStyle w:val="10"/>
          <w:rFonts w:hint="eastAsia" w:ascii="楷体_GB2312" w:hAnsi="楷体_GB2312" w:eastAsia="楷体_GB2312" w:cs="楷体_GB2312"/>
          <w:b w:val="0"/>
          <w:bCs w:val="0"/>
          <w:i w:val="0"/>
          <w:iCs w:val="0"/>
          <w:caps w:val="0"/>
          <w:color w:val="auto"/>
          <w:spacing w:val="0"/>
          <w:sz w:val="32"/>
          <w:szCs w:val="32"/>
          <w:shd w:val="clear" w:color="auto" w:fill="FFFFFF"/>
          <w:lang w:val="en-US" w:eastAsia="zh-CN"/>
        </w:rPr>
        <w:t>6、法治住建与队伍建设</w:t>
      </w:r>
    </w:p>
    <w:p w14:paraId="14F388A8">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执法规范化建设：完善行政执法制度体系，推进执法全过程记录、重大执法决定法制审核；加强人员培训，提升执法公信力。</w:t>
      </w:r>
    </w:p>
    <w:p w14:paraId="102515F2">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普法宣传教育：深化 “法律六进” 活动，重点加强农村自建房安全、房地产交易、物业管理等领域精准普法。</w:t>
      </w:r>
    </w:p>
    <w:p w14:paraId="53D9BA2C">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default" w:ascii="仿宋_GB2312" w:hAnsi="仿宋_GB2312" w:eastAsia="仿宋_GB2312" w:cs="仿宋_GB2312"/>
          <w:color w:val="auto"/>
          <w:sz w:val="32"/>
          <w:szCs w:val="32"/>
          <w:lang w:val="en-US" w:eastAsia="zh-CN"/>
        </w:rPr>
      </w:pPr>
      <w:r>
        <w:rPr>
          <w:rFonts w:hint="default" w:ascii="仿宋_GB2312" w:hAnsi="仿宋_GB2312" w:eastAsia="仿宋_GB2312" w:cs="仿宋_GB2312"/>
          <w:color w:val="auto"/>
          <w:sz w:val="32"/>
          <w:szCs w:val="32"/>
          <w:lang w:val="en-US" w:eastAsia="zh-CN"/>
        </w:rPr>
        <w:t>干部队伍建设：强化党建引领，加强党风廉政建设与作风建设；提升干部专业能力，打造高素质住建队伍。</w:t>
      </w:r>
    </w:p>
    <w:p w14:paraId="0AB67CC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(二)部门整体支出规模、使用方向、主要内容和涉及范围</w:t>
      </w:r>
    </w:p>
    <w:p w14:paraId="1858C5F8">
      <w:pPr>
        <w:keepNext w:val="0"/>
        <w:keepLines w:val="0"/>
        <w:pageBreakBefore w:val="0"/>
        <w:kinsoku/>
        <w:wordWrap/>
        <w:overflowPunct/>
        <w:topLinePunct w:val="0"/>
        <w:bidi w:val="0"/>
        <w:spacing w:before="0" w:beforeLines="0" w:after="0" w:afterLines="0" w:line="600" w:lineRule="exact"/>
        <w:ind w:left="0" w:leftChars="0" w:right="0" w:rightChars="0" w:firstLine="640" w:firstLineChars="200"/>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基本支出系保障我局机构正常运转、完成日常工作任务而发生的各项支出，包括用于在职和离退休人员基本工资、津贴补贴等人员经费以及办公费、印刷费、水电费、办公设备购置等日常公用经费。</w:t>
      </w:r>
      <w:r>
        <w:rPr>
          <w:rFonts w:hint="eastAsia" w:ascii="仿宋_GB2312" w:hAnsi="仿宋_GB2312" w:eastAsia="仿宋_GB2312" w:cs="仿宋_GB2312"/>
          <w:color w:val="auto"/>
          <w:sz w:val="32"/>
          <w:szCs w:val="32"/>
          <w:lang w:eastAsia="zh-CN"/>
        </w:rPr>
        <w:t>2025</w:t>
      </w:r>
      <w:r>
        <w:rPr>
          <w:rFonts w:hint="eastAsia" w:ascii="仿宋_GB2312" w:hAnsi="仿宋_GB2312" w:eastAsia="仿宋_GB2312" w:cs="仿宋_GB2312"/>
          <w:color w:val="auto"/>
          <w:sz w:val="32"/>
          <w:szCs w:val="32"/>
        </w:rPr>
        <w:t>年基本支出</w:t>
      </w:r>
      <w:r>
        <w:rPr>
          <w:rFonts w:hint="eastAsia" w:ascii="仿宋_GB2312" w:hAnsi="仿宋_GB2312" w:eastAsia="仿宋_GB2312" w:cs="仿宋_GB2312"/>
          <w:color w:val="auto"/>
          <w:sz w:val="32"/>
          <w:szCs w:val="32"/>
          <w:lang w:val="en-US" w:eastAsia="zh-CN"/>
        </w:rPr>
        <w:t>1831.99</w:t>
      </w:r>
      <w:r>
        <w:rPr>
          <w:rFonts w:hint="eastAsia" w:ascii="仿宋_GB2312" w:hAnsi="仿宋_GB2312" w:eastAsia="仿宋_GB2312" w:cs="仿宋_GB2312"/>
          <w:color w:val="auto"/>
          <w:sz w:val="32"/>
          <w:szCs w:val="32"/>
        </w:rPr>
        <w:t>万元，较上年</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lang w:val="en-US" w:eastAsia="zh-CN"/>
        </w:rPr>
        <w:t>99.48</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增加比例为5.7%，主要原因为</w:t>
      </w:r>
      <w:r>
        <w:rPr>
          <w:rFonts w:hint="eastAsia" w:ascii="仿宋_GB2312" w:hAnsi="仿宋_GB2312" w:eastAsia="仿宋_GB2312" w:cs="仿宋_GB2312"/>
          <w:color w:val="auto"/>
          <w:sz w:val="32"/>
          <w:szCs w:val="32"/>
        </w:rPr>
        <w:t>机构改革人员</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rPr>
        <w:t>。基本支出中人员经费</w:t>
      </w:r>
      <w:r>
        <w:rPr>
          <w:rFonts w:hint="eastAsia" w:ascii="仿宋_GB2312" w:hAnsi="仿宋_GB2312" w:eastAsia="仿宋_GB2312" w:cs="仿宋_GB2312"/>
          <w:color w:val="auto"/>
          <w:sz w:val="32"/>
          <w:szCs w:val="32"/>
          <w:lang w:val="en-US" w:eastAsia="zh-CN"/>
        </w:rPr>
        <w:t>1712.15</w:t>
      </w:r>
      <w:r>
        <w:rPr>
          <w:rFonts w:hint="eastAsia" w:ascii="仿宋_GB2312" w:hAnsi="仿宋_GB2312" w:eastAsia="仿宋_GB2312" w:cs="仿宋_GB2312"/>
          <w:color w:val="auto"/>
          <w:sz w:val="32"/>
          <w:szCs w:val="32"/>
        </w:rPr>
        <w:t>万元，占基本支出的</w:t>
      </w:r>
      <w:r>
        <w:rPr>
          <w:rFonts w:hint="eastAsia" w:ascii="仿宋_GB2312" w:hAnsi="仿宋_GB2312" w:eastAsia="仿宋_GB2312" w:cs="仿宋_GB2312"/>
          <w:color w:val="auto"/>
          <w:sz w:val="32"/>
          <w:szCs w:val="32"/>
          <w:lang w:val="en-US" w:eastAsia="zh-CN"/>
        </w:rPr>
        <w:t>93.45</w:t>
      </w:r>
      <w:r>
        <w:rPr>
          <w:rFonts w:hint="eastAsia" w:ascii="仿宋_GB2312" w:hAnsi="仿宋_GB2312" w:eastAsia="仿宋_GB2312" w:cs="仿宋_GB2312"/>
          <w:color w:val="auto"/>
          <w:sz w:val="32"/>
          <w:szCs w:val="32"/>
        </w:rPr>
        <w:t>%，比上年</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lang w:val="en-US" w:eastAsia="zh-CN"/>
        </w:rPr>
        <w:t>107.45</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val="en-US" w:eastAsia="zh-CN"/>
        </w:rPr>
        <w:t>增加比例为6.7%，</w:t>
      </w:r>
      <w:r>
        <w:rPr>
          <w:rFonts w:hint="eastAsia" w:ascii="仿宋_GB2312" w:hAnsi="仿宋_GB2312" w:eastAsia="仿宋_GB2312" w:cs="仿宋_GB2312"/>
          <w:color w:val="auto"/>
          <w:sz w:val="32"/>
          <w:szCs w:val="32"/>
        </w:rPr>
        <w:t>主要原因是机构改革人员</w:t>
      </w:r>
      <w:r>
        <w:rPr>
          <w:rFonts w:hint="eastAsia" w:ascii="仿宋_GB2312" w:hAnsi="仿宋_GB2312" w:eastAsia="仿宋_GB2312" w:cs="仿宋_GB2312"/>
          <w:color w:val="auto"/>
          <w:sz w:val="32"/>
          <w:szCs w:val="32"/>
          <w:lang w:eastAsia="zh-CN"/>
        </w:rPr>
        <w:t>增加</w:t>
      </w:r>
      <w:r>
        <w:rPr>
          <w:rFonts w:hint="eastAsia" w:ascii="仿宋_GB2312" w:hAnsi="仿宋_GB2312" w:eastAsia="仿宋_GB2312" w:cs="仿宋_GB2312"/>
          <w:color w:val="auto"/>
          <w:sz w:val="32"/>
          <w:szCs w:val="32"/>
        </w:rPr>
        <w:t>；日常公用经费</w:t>
      </w:r>
      <w:r>
        <w:rPr>
          <w:rFonts w:hint="eastAsia" w:ascii="仿宋_GB2312" w:hAnsi="仿宋_GB2312" w:eastAsia="仿宋_GB2312" w:cs="仿宋_GB2312"/>
          <w:color w:val="auto"/>
          <w:sz w:val="32"/>
          <w:szCs w:val="32"/>
          <w:lang w:val="en-US" w:eastAsia="zh-CN"/>
        </w:rPr>
        <w:t>119.84</w:t>
      </w:r>
      <w:r>
        <w:rPr>
          <w:rFonts w:hint="eastAsia" w:ascii="仿宋_GB2312" w:hAnsi="仿宋_GB2312" w:eastAsia="仿宋_GB2312" w:cs="仿宋_GB2312"/>
          <w:color w:val="auto"/>
          <w:sz w:val="32"/>
          <w:szCs w:val="32"/>
        </w:rPr>
        <w:t>万元，占基本支出的</w:t>
      </w:r>
      <w:r>
        <w:rPr>
          <w:rFonts w:hint="eastAsia" w:ascii="仿宋_GB2312" w:hAnsi="仿宋_GB2312" w:eastAsia="仿宋_GB2312" w:cs="仿宋_GB2312"/>
          <w:color w:val="auto"/>
          <w:sz w:val="32"/>
          <w:szCs w:val="32"/>
          <w:lang w:val="en-US" w:eastAsia="zh-CN"/>
        </w:rPr>
        <w:t>6.55</w:t>
      </w:r>
      <w:r>
        <w:rPr>
          <w:rFonts w:hint="eastAsia" w:ascii="仿宋_GB2312" w:hAnsi="仿宋_GB2312" w:eastAsia="仿宋_GB2312" w:cs="仿宋_GB2312"/>
          <w:color w:val="auto"/>
          <w:sz w:val="32"/>
          <w:szCs w:val="32"/>
        </w:rPr>
        <w:t>%，与上年</w:t>
      </w:r>
      <w:r>
        <w:rPr>
          <w:rFonts w:hint="eastAsia" w:ascii="仿宋_GB2312" w:hAnsi="仿宋_GB2312" w:eastAsia="仿宋_GB2312" w:cs="仿宋_GB2312"/>
          <w:color w:val="auto"/>
          <w:sz w:val="32"/>
          <w:szCs w:val="32"/>
          <w:lang w:eastAsia="zh-CN"/>
        </w:rPr>
        <w:t>减少</w:t>
      </w:r>
      <w:r>
        <w:rPr>
          <w:rFonts w:hint="eastAsia" w:ascii="仿宋_GB2312" w:hAnsi="仿宋_GB2312" w:eastAsia="仿宋_GB2312" w:cs="仿宋_GB2312"/>
          <w:color w:val="auto"/>
          <w:sz w:val="32"/>
          <w:szCs w:val="32"/>
          <w:lang w:val="en-US" w:eastAsia="zh-CN"/>
        </w:rPr>
        <w:t>7.96</w:t>
      </w:r>
      <w:r>
        <w:rPr>
          <w:rFonts w:hint="eastAsia" w:ascii="仿宋_GB2312" w:hAnsi="仿宋_GB2312" w:eastAsia="仿宋_GB2312" w:cs="仿宋_GB2312"/>
          <w:color w:val="auto"/>
          <w:sz w:val="32"/>
          <w:szCs w:val="32"/>
        </w:rPr>
        <w:t>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减少比例为6.2%</w:t>
      </w:r>
      <w:r>
        <w:rPr>
          <w:rFonts w:hint="eastAsia" w:ascii="仿宋_GB2312" w:hAnsi="仿宋_GB2312" w:eastAsia="仿宋_GB2312" w:cs="仿宋_GB2312"/>
          <w:color w:val="auto"/>
          <w:sz w:val="32"/>
          <w:szCs w:val="32"/>
        </w:rPr>
        <w:t>，主要原因</w:t>
      </w:r>
      <w:r>
        <w:rPr>
          <w:rFonts w:hint="eastAsia" w:ascii="仿宋_GB2312" w:hAnsi="仿宋_GB2312" w:eastAsia="仿宋_GB2312" w:cs="仿宋_GB2312"/>
          <w:color w:val="auto"/>
          <w:sz w:val="32"/>
          <w:szCs w:val="32"/>
          <w:lang w:eastAsia="zh-CN"/>
        </w:rPr>
        <w:t>是</w:t>
      </w:r>
      <w:r>
        <w:rPr>
          <w:rFonts w:hint="eastAsia" w:ascii="仿宋_GB2312" w:hAnsi="仿宋_GB2312" w:eastAsia="仿宋_GB2312" w:cs="仿宋_GB2312"/>
          <w:color w:val="auto"/>
          <w:sz w:val="32"/>
          <w:szCs w:val="32"/>
        </w:rPr>
        <w:t>我单位厉行节约、严格把关，严控三公经费支出，尽力控制公用经费支出。</w:t>
      </w:r>
    </w:p>
    <w:p w14:paraId="680679A2">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二、一般公共预算支出情况</w:t>
      </w:r>
    </w:p>
    <w:p w14:paraId="75D3A8CD">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(一)基本支出情况</w:t>
      </w:r>
    </w:p>
    <w:p w14:paraId="33DBFE12">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ascii="仿宋" w:hAnsi="仿宋" w:eastAsia="仿宋" w:cs="Times New Roman"/>
          <w:kern w:val="2"/>
          <w:sz w:val="32"/>
          <w:szCs w:val="24"/>
          <w:u w:val="none"/>
          <w:shd w:val="clear" w:color="auto" w:fill="auto"/>
          <w:lang w:val="en-US" w:eastAsia="zh-CN" w:bidi="ar-SA"/>
        </w:rPr>
      </w:pPr>
      <w:r>
        <w:rPr>
          <w:rFonts w:hint="eastAsia" w:ascii="仿宋" w:hAnsi="仿宋" w:eastAsia="仿宋" w:cs="Times New Roman"/>
          <w:kern w:val="2"/>
          <w:sz w:val="32"/>
          <w:szCs w:val="24"/>
          <w:u w:val="none"/>
          <w:shd w:val="clear" w:color="auto" w:fill="auto"/>
          <w:lang w:val="en-US" w:eastAsia="zh-CN" w:bidi="ar-SA"/>
        </w:rPr>
        <w:t>基本支出</w:t>
      </w:r>
      <w:r>
        <w:rPr>
          <w:rFonts w:hint="eastAsia" w:ascii="仿宋_GB2312" w:hAnsi="仿宋_GB2312" w:eastAsia="仿宋_GB2312" w:cs="仿宋_GB2312"/>
          <w:color w:val="auto"/>
          <w:sz w:val="32"/>
          <w:szCs w:val="32"/>
          <w:lang w:val="en-US" w:eastAsia="zh-CN"/>
        </w:rPr>
        <w:t>1831.99</w:t>
      </w:r>
      <w:r>
        <w:rPr>
          <w:rFonts w:hint="eastAsia" w:ascii="仿宋" w:hAnsi="仿宋" w:eastAsia="仿宋" w:cs="Times New Roman"/>
          <w:kern w:val="2"/>
          <w:sz w:val="32"/>
          <w:szCs w:val="24"/>
          <w:u w:val="none"/>
          <w:shd w:val="clear" w:color="auto" w:fill="auto"/>
          <w:lang w:val="en-US" w:eastAsia="zh-CN" w:bidi="ar-SA"/>
        </w:rPr>
        <w:t>万元，是为保障各部门正常运转、完成日常工作任务而发生的各项支出，主要包括工资福利支出1707.18万元，商品和服务支出119.84万元，对个人和家庭支出4.97万元。</w:t>
      </w:r>
    </w:p>
    <w:p w14:paraId="7685E5DD">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rPr>
      </w:pPr>
      <w:r>
        <w:rPr>
          <w:rFonts w:hint="eastAsia" w:ascii="仿宋" w:hAnsi="仿宋" w:eastAsia="仿宋" w:cs="Times New Roman"/>
          <w:kern w:val="2"/>
          <w:sz w:val="32"/>
          <w:szCs w:val="24"/>
          <w:u w:val="none"/>
          <w:shd w:val="clear" w:color="auto" w:fill="auto"/>
          <w:lang w:val="en-US" w:eastAsia="zh-CN" w:bidi="ar-SA"/>
        </w:rPr>
        <w:t>“三公”经费支出情况：2025年，“三公”经费完成0万元，比上年减少21.34元，减少比例为100%，主要原因是：严格执行0接待政策，厉行节约理念</w:t>
      </w:r>
      <w:r>
        <w:rPr>
          <w:rFonts w:hint="eastAsia" w:ascii="仿宋" w:hAnsi="仿宋" w:eastAsia="仿宋" w:cs="Times New Roman"/>
          <w:kern w:val="2"/>
          <w:sz w:val="32"/>
          <w:szCs w:val="24"/>
          <w:u w:val="none"/>
          <w:shd w:val="clear" w:color="auto" w:fill="auto"/>
          <w:lang w:val="zh-CN" w:eastAsia="zh-CN" w:bidi="ar-SA"/>
        </w:rPr>
        <w:t>。</w:t>
      </w:r>
    </w:p>
    <w:p w14:paraId="2D3F4ACB">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楷体_GB2312" w:hAnsi="楷体_GB2312" w:eastAsia="楷体_GB2312" w:cs="楷体_GB2312"/>
          <w:color w:val="000000"/>
          <w:kern w:val="0"/>
          <w:sz w:val="32"/>
          <w:szCs w:val="32"/>
        </w:rPr>
      </w:pPr>
      <w:r>
        <w:rPr>
          <w:rFonts w:hint="eastAsia" w:ascii="楷体_GB2312" w:hAnsi="楷体_GB2312" w:eastAsia="楷体_GB2312" w:cs="楷体_GB2312"/>
          <w:color w:val="000000"/>
          <w:kern w:val="0"/>
          <w:sz w:val="32"/>
          <w:szCs w:val="32"/>
        </w:rPr>
        <w:t>(二)项目支出情况</w:t>
      </w:r>
    </w:p>
    <w:p w14:paraId="49145870">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firstLine="640" w:firstLineChars="200"/>
        <w:textAlignment w:val="auto"/>
        <w:rPr>
          <w:rFonts w:hint="eastAsia" w:eastAsia="仿宋"/>
          <w:lang w:eastAsia="zh-CN"/>
        </w:rPr>
      </w:pPr>
      <w:r>
        <w:rPr>
          <w:rFonts w:hint="eastAsia" w:ascii="仿宋" w:hAnsi="仿宋" w:eastAsia="仿宋" w:cs="Times New Roman"/>
          <w:kern w:val="2"/>
          <w:sz w:val="32"/>
          <w:szCs w:val="24"/>
          <w:u w:val="none"/>
          <w:shd w:val="clear" w:color="auto" w:fill="auto"/>
          <w:lang w:val="en-US" w:eastAsia="zh-CN" w:bidi="ar-SA"/>
        </w:rPr>
        <w:t>项目支出25696.91万元，包含：</w:t>
      </w:r>
      <w:r>
        <w:rPr>
          <w:rFonts w:hint="eastAsia" w:ascii="仿宋_GB2312" w:eastAsia="仿宋_GB2312"/>
          <w:sz w:val="32"/>
          <w:szCs w:val="32"/>
          <w:lang w:eastAsia="zh-CN"/>
        </w:rPr>
        <w:t>专项商品服务支出和资本支出以及污水处理厂等项目支出。</w:t>
      </w:r>
    </w:p>
    <w:p w14:paraId="75EC8028">
      <w:pPr>
        <w:keepNext w:val="0"/>
        <w:keepLines w:val="0"/>
        <w:pageBreakBefore w:val="0"/>
        <w:widowControl/>
        <w:numPr>
          <w:ilvl w:val="0"/>
          <w:numId w:val="1"/>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政府性基金预算支出情况</w:t>
      </w:r>
    </w:p>
    <w:p w14:paraId="70D39C70">
      <w:pPr>
        <w:ind w:firstLine="640" w:firstLineChars="200"/>
        <w:rPr>
          <w:rFonts w:hint="eastAsia"/>
        </w:rPr>
      </w:pPr>
      <w:r>
        <w:rPr>
          <w:rFonts w:hint="eastAsia" w:eastAsia="仿宋_GB2312"/>
          <w:color w:val="232323"/>
          <w:sz w:val="32"/>
          <w:szCs w:val="32"/>
          <w:shd w:val="clear" w:color="auto" w:fill="FFFFFF"/>
          <w:lang w:eastAsia="zh-CN"/>
        </w:rPr>
        <w:t>2025</w:t>
      </w:r>
      <w:r>
        <w:rPr>
          <w:rFonts w:hint="eastAsia" w:ascii="仿宋_GB2312" w:eastAsia="仿宋_GB2312" w:cs="仿宋_GB2312"/>
          <w:color w:val="232323"/>
          <w:sz w:val="32"/>
          <w:szCs w:val="32"/>
          <w:shd w:val="clear" w:color="auto" w:fill="FFFFFF"/>
        </w:rPr>
        <w:t>年本部门政府性基金支出预算</w:t>
      </w:r>
      <w:r>
        <w:rPr>
          <w:rFonts w:hint="eastAsia" w:eastAsia="仿宋_GB2312"/>
          <w:color w:val="232323"/>
          <w:sz w:val="32"/>
          <w:szCs w:val="32"/>
          <w:shd w:val="clear" w:color="auto" w:fill="FFFFFF"/>
          <w:lang w:val="en-US" w:eastAsia="zh-CN"/>
        </w:rPr>
        <w:t>14333.69</w:t>
      </w:r>
      <w:r>
        <w:rPr>
          <w:rFonts w:hint="eastAsia" w:ascii="仿宋_GB2312" w:eastAsia="仿宋_GB2312" w:cs="仿宋_GB2312"/>
          <w:color w:val="232323"/>
          <w:sz w:val="32"/>
          <w:szCs w:val="32"/>
          <w:shd w:val="clear" w:color="auto" w:fill="FFFFFF"/>
        </w:rPr>
        <w:t>万元</w:t>
      </w:r>
      <w:r>
        <w:rPr>
          <w:rFonts w:hint="eastAsia" w:ascii="仿宋_GB2312" w:hAnsi="宋体" w:eastAsia="仿宋_GB2312" w:cs="仿宋_GB2312"/>
          <w:color w:val="232323"/>
          <w:sz w:val="32"/>
          <w:szCs w:val="32"/>
          <w:shd w:val="clear" w:color="auto" w:fill="FFFFFF"/>
        </w:rPr>
        <w:t>。</w:t>
      </w:r>
    </w:p>
    <w:p w14:paraId="4146400D">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国有资本经营预算支出情况</w:t>
      </w:r>
    </w:p>
    <w:p w14:paraId="2231DFB3">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本部门无国有资本经营预算的支出。</w:t>
      </w:r>
    </w:p>
    <w:p w14:paraId="4675B08A">
      <w:pPr>
        <w:keepNext w:val="0"/>
        <w:keepLines w:val="0"/>
        <w:pageBreakBefore w:val="0"/>
        <w:widowControl/>
        <w:numPr>
          <w:ilvl w:val="0"/>
          <w:numId w:val="1"/>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社会保险基金预算支出情况</w:t>
      </w:r>
    </w:p>
    <w:p w14:paraId="4D3BC260">
      <w:pPr>
        <w:pStyle w:val="7"/>
        <w:ind w:left="420" w:leftChars="200" w:firstLine="0" w:firstLineChars="0"/>
        <w:rPr>
          <w:rFonts w:hint="eastAsia" w:ascii="黑体" w:hAnsi="黑体" w:eastAsia="黑体" w:cs="宋体"/>
          <w:color w:val="000000"/>
          <w:kern w:val="0"/>
          <w:sz w:val="32"/>
          <w:szCs w:val="32"/>
        </w:rPr>
      </w:pPr>
      <w:r>
        <w:rPr>
          <w:rFonts w:hint="eastAsia" w:eastAsia="仿宋_GB2312"/>
          <w:color w:val="232323"/>
          <w:shd w:val="clear" w:color="auto" w:fill="FFFFFF"/>
          <w:lang w:eastAsia="zh-CN"/>
        </w:rPr>
        <w:t>2025</w:t>
      </w:r>
      <w:r>
        <w:rPr>
          <w:rFonts w:hint="eastAsia" w:ascii="仿宋_GB2312" w:eastAsia="仿宋_GB2312" w:cs="仿宋_GB2312"/>
          <w:color w:val="232323"/>
          <w:shd w:val="clear" w:color="auto" w:fill="FFFFFF"/>
        </w:rPr>
        <w:t>年</w:t>
      </w:r>
      <w:r>
        <w:rPr>
          <w:rFonts w:hint="eastAsia" w:ascii="仿宋_GB2312" w:hAnsi="宋体" w:eastAsia="仿宋_GB2312" w:cs="仿宋_GB2312"/>
          <w:color w:val="232323"/>
          <w:shd w:val="clear" w:color="auto" w:fill="FFFFFF"/>
        </w:rPr>
        <w:t>本部门无社会保险基金预算的支出。</w:t>
      </w:r>
    </w:p>
    <w:p w14:paraId="3CE7EEA8">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六、部门整体支出绩效情况</w:t>
      </w:r>
    </w:p>
    <w:p w14:paraId="48C0E4DF">
      <w:pPr>
        <w:spacing w:line="594" w:lineRule="exact"/>
        <w:ind w:firstLine="640" w:firstLineChars="200"/>
        <w:rPr>
          <w:rFonts w:hint="eastAsia" w:ascii="仿宋_GB2312" w:eastAsia="仿宋_GB2312"/>
          <w:sz w:val="32"/>
          <w:szCs w:val="32"/>
        </w:rPr>
      </w:pPr>
      <w:r>
        <w:rPr>
          <w:rFonts w:hint="eastAsia" w:ascii="仿宋_GB2312" w:eastAsia="仿宋_GB2312"/>
          <w:sz w:val="32"/>
          <w:szCs w:val="32"/>
        </w:rPr>
        <w:t>根据《部门整体支出绩效评价指标》评分，得分</w:t>
      </w:r>
      <w:r>
        <w:rPr>
          <w:rFonts w:hint="eastAsia" w:ascii="仿宋_GB2312" w:eastAsia="仿宋_GB2312"/>
          <w:sz w:val="32"/>
          <w:szCs w:val="32"/>
          <w:lang w:val="en-US" w:eastAsia="zh-CN"/>
        </w:rPr>
        <w:t>100</w:t>
      </w:r>
      <w:r>
        <w:rPr>
          <w:rFonts w:hint="eastAsia" w:ascii="仿宋_GB2312" w:eastAsia="仿宋_GB2312"/>
          <w:sz w:val="32"/>
          <w:szCs w:val="32"/>
        </w:rPr>
        <w:t>分，绩效评价等级为“优”。主要绩效如下：</w:t>
      </w:r>
      <w:r>
        <w:rPr>
          <w:rFonts w:hint="eastAsia" w:ascii="仿宋_GB2312" w:hAnsi="仿宋_GB2312" w:eastAsia="仿宋_GB2312" w:cs="仿宋_GB2312"/>
          <w:color w:val="auto"/>
          <w:sz w:val="32"/>
          <w:szCs w:val="32"/>
        </w:rPr>
        <w:t>规范房地产市场秩序、监督管理房地产市场。会同有关部门组织拟订房地产市场监管政策措施并监督执行。负责拟订适合县情的住房制度改革政策措施和方案并组织实施。负责指导监督管理房地产价格评估、房地产中介服务机构的资质。负责指导监督房地产交易、房产测绘及其成果应用</w:t>
      </w:r>
    </w:p>
    <w:p w14:paraId="562B9CC9">
      <w:pPr>
        <w:keepNext w:val="0"/>
        <w:keepLines w:val="0"/>
        <w:pageBreakBefore w:val="0"/>
        <w:widowControl/>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七、存在的问题及原因分析</w:t>
      </w:r>
    </w:p>
    <w:p w14:paraId="18FA471D">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（一）房地产止跌回稳压力较大</w:t>
      </w:r>
      <w:r>
        <w:rPr>
          <w:rFonts w:hint="eastAsia" w:ascii="仿宋_GB2312" w:hAnsi="仿宋_GB2312" w:eastAsia="仿宋_GB2312" w:cs="仿宋_GB2312"/>
          <w:color w:val="auto"/>
          <w:sz w:val="32"/>
          <w:szCs w:val="32"/>
          <w:highlight w:val="none"/>
          <w:lang w:val="en-US" w:eastAsia="zh-CN"/>
        </w:rPr>
        <w:t>。房票安置政策拉动效应减弱，市场后续动力不足。新出台的棚改房票政策虽拓宽安置渠道，但仍面临购房信心不足、房企资金紧张等问题，整体市场回暖基础不牢；二手房市场机制不健全，正在学习探索并引进发达地区先进经验，力争让房地产市场持续协调发展。</w:t>
      </w:r>
    </w:p>
    <w:p w14:paraId="2EBFBCB7">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（二）乡镇污水处理运行机制不畅。</w:t>
      </w:r>
      <w:r>
        <w:rPr>
          <w:rFonts w:hint="eastAsia" w:ascii="仿宋_GB2312" w:hAnsi="仿宋_GB2312" w:eastAsia="仿宋_GB2312" w:cs="仿宋_GB2312"/>
          <w:color w:val="auto"/>
          <w:sz w:val="32"/>
          <w:szCs w:val="32"/>
          <w:highlight w:val="none"/>
          <w:lang w:val="en-US" w:eastAsia="zh-CN"/>
        </w:rPr>
        <w:t>经费保障不足，全县年运维费用超过1500万元，目前仅3个乡镇启动伴水征收，年实收232万元，资金缺口超过1000万元，多数乡镇运营缺乏稳定经费来源。</w:t>
      </w:r>
    </w:p>
    <w:p w14:paraId="7CE39E20">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（三）PPP项目财政压力持续加大。</w:t>
      </w:r>
      <w:r>
        <w:rPr>
          <w:rFonts w:hint="eastAsia" w:ascii="仿宋_GB2312" w:hAnsi="仿宋_GB2312" w:eastAsia="仿宋_GB2312" w:cs="仿宋_GB2312"/>
          <w:color w:val="auto"/>
          <w:sz w:val="32"/>
          <w:szCs w:val="32"/>
          <w:highlight w:val="none"/>
          <w:lang w:val="en-US" w:eastAsia="zh-CN"/>
        </w:rPr>
        <w:t>项目全生命周期政府总付费达25.86亿元，初始期年付费在6000万元以上，后期仍维持高位。截至12月底，政府已付费2300万元，仍欠付8414.3万元，财政付费压力突出。</w:t>
      </w:r>
    </w:p>
    <w:p w14:paraId="66A42178">
      <w:pPr>
        <w:keepNext w:val="0"/>
        <w:keepLines w:val="0"/>
        <w:pageBreakBefore w:val="0"/>
        <w:widowControl w:val="0"/>
        <w:kinsoku/>
        <w:wordWrap/>
        <w:overflowPunct/>
        <w:topLinePunct w:val="0"/>
        <w:autoSpaceDE/>
        <w:autoSpaceDN/>
        <w:bidi w:val="0"/>
        <w:snapToGrid/>
        <w:spacing w:line="56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color w:val="auto"/>
          <w:sz w:val="32"/>
          <w:szCs w:val="32"/>
          <w:highlight w:val="none"/>
          <w:lang w:val="en-US" w:eastAsia="zh-CN"/>
        </w:rPr>
        <w:t>（四）基层治理与行业发展存在短板。</w:t>
      </w:r>
      <w:r>
        <w:rPr>
          <w:rFonts w:hint="default" w:ascii="仿宋_GB2312" w:hAnsi="仿宋_GB2312" w:eastAsia="仿宋_GB2312" w:cs="仿宋_GB2312"/>
          <w:color w:val="auto"/>
          <w:sz w:val="32"/>
          <w:szCs w:val="32"/>
          <w:highlight w:val="none"/>
          <w:lang w:val="en-US" w:eastAsia="zh-CN"/>
        </w:rPr>
        <w:t>业主委员会建设推进困难，部分小区业主参与度低，少数已成立业委会履职能力不足、运行不规范，且缺乏有效监管与退出机制</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物业纠纷调处成效有待提升，因部分矛盾涉及开发建设时期遗留问题，调解专业力量不足，复杂疑难纠纷化解率偏低。</w:t>
      </w:r>
      <w:r>
        <w:rPr>
          <w:rFonts w:hint="eastAsia" w:ascii="仿宋_GB2312" w:hAnsi="仿宋_GB2312" w:eastAsia="仿宋_GB2312" w:cs="仿宋_GB2312"/>
          <w:color w:val="auto"/>
          <w:sz w:val="32"/>
          <w:szCs w:val="32"/>
        </w:rPr>
        <w:t xml:space="preserve">   </w:t>
      </w:r>
    </w:p>
    <w:p w14:paraId="217F7C80">
      <w:pPr>
        <w:keepNext w:val="0"/>
        <w:keepLines w:val="0"/>
        <w:pageBreakBefore w:val="0"/>
        <w:widowControl/>
        <w:numPr>
          <w:ilvl w:val="0"/>
          <w:numId w:val="2"/>
        </w:numPr>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下一步改进措施</w:t>
      </w:r>
    </w:p>
    <w:p w14:paraId="6BA8006D">
      <w:pPr>
        <w:pStyle w:val="2"/>
        <w:keepNext w:val="0"/>
        <w:keepLines w:val="0"/>
        <w:pageBreakBefore w:val="0"/>
        <w:widowControl w:val="0"/>
        <w:kinsoku/>
        <w:wordWrap/>
        <w:overflowPunct/>
        <w:topLinePunct w:val="0"/>
        <w:autoSpaceDE/>
        <w:autoSpaceDN/>
        <w:bidi w:val="0"/>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（一）提效能、优环境，释放深化改革新动能。</w:t>
      </w:r>
      <w:r>
        <w:rPr>
          <w:rFonts w:hint="eastAsia" w:ascii="仿宋_GB2312" w:hAnsi="仿宋_GB2312" w:eastAsia="仿宋_GB2312" w:cs="仿宋_GB2312"/>
          <w:color w:val="auto"/>
          <w:sz w:val="32"/>
          <w:szCs w:val="32"/>
          <w:lang w:val="en-US" w:eastAsia="zh-CN"/>
        </w:rPr>
        <w:t>以流程优化和智慧赋能为核心，持续深化审批制度改革与监管模式创新，不断提升政务服务效率与市场治理水平。</w:t>
      </w:r>
      <w:r>
        <w:rPr>
          <w:rFonts w:hint="eastAsia" w:ascii="仿宋_GB2312" w:hAnsi="仿宋_GB2312" w:eastAsia="仿宋_GB2312" w:cs="仿宋_GB2312"/>
          <w:b/>
          <w:bCs/>
          <w:color w:val="auto"/>
          <w:sz w:val="32"/>
          <w:szCs w:val="32"/>
          <w:lang w:val="en-US" w:eastAsia="zh-CN"/>
        </w:rPr>
        <w:t>一是深化审批改革。</w:t>
      </w:r>
      <w:r>
        <w:rPr>
          <w:rFonts w:hint="eastAsia" w:ascii="仿宋_GB2312" w:hAnsi="仿宋_GB2312" w:eastAsia="仿宋_GB2312" w:cs="仿宋_GB2312"/>
          <w:color w:val="auto"/>
          <w:sz w:val="32"/>
          <w:szCs w:val="32"/>
          <w:lang w:val="en-US" w:eastAsia="zh-CN"/>
        </w:rPr>
        <w:t>实现经营性项目“验收即开业”全覆盖，拓展“多测合一”范围并推动系统深度协同；建立月度会商制度，加强逾期退件监管；升级“项目管家”帮代办服务，推广电子证照全流程应用；优化政策落实，协助调整配套费政策，建立惠企政策“直达快享”机制；全力协助重点项目审批报建工作；全面完成城建档案馆档案数字化。</w:t>
      </w:r>
      <w:r>
        <w:rPr>
          <w:rFonts w:hint="eastAsia" w:ascii="仿宋_GB2312" w:hAnsi="仿宋_GB2312" w:eastAsia="仿宋_GB2312" w:cs="仿宋_GB2312"/>
          <w:b/>
          <w:bCs/>
          <w:color w:val="auto"/>
          <w:sz w:val="32"/>
          <w:szCs w:val="32"/>
          <w:lang w:val="en-US" w:eastAsia="zh-CN"/>
        </w:rPr>
        <w:t>二是构建智慧监管。</w:t>
      </w:r>
      <w:r>
        <w:rPr>
          <w:rFonts w:hint="eastAsia" w:ascii="仿宋_GB2312" w:hAnsi="仿宋_GB2312" w:eastAsia="仿宋_GB2312" w:cs="仿宋_GB2312"/>
          <w:color w:val="auto"/>
          <w:sz w:val="32"/>
          <w:szCs w:val="32"/>
          <w:lang w:val="en-US" w:eastAsia="zh-CN"/>
        </w:rPr>
        <w:t>完善物业企业信用评价与清出机制，建设智慧监管平台，实现投诉、隐患、资金数据互联。优化维修资金信息系统，加强与金融机构合作，保障资金安全增值。</w:t>
      </w:r>
      <w:r>
        <w:rPr>
          <w:rFonts w:hint="eastAsia" w:ascii="仿宋_GB2312" w:hAnsi="仿宋_GB2312" w:eastAsia="仿宋_GB2312" w:cs="仿宋_GB2312"/>
          <w:b/>
          <w:bCs/>
          <w:color w:val="auto"/>
          <w:sz w:val="32"/>
          <w:szCs w:val="32"/>
          <w:lang w:val="en-US" w:eastAsia="zh-CN"/>
        </w:rPr>
        <w:t>三是规范市场秩序。</w:t>
      </w:r>
      <w:r>
        <w:rPr>
          <w:rFonts w:hint="eastAsia" w:ascii="仿宋_GB2312" w:hAnsi="仿宋_GB2312" w:eastAsia="仿宋_GB2312" w:cs="仿宋_GB2312"/>
          <w:color w:val="auto"/>
          <w:sz w:val="32"/>
          <w:szCs w:val="32"/>
          <w:lang w:val="en-US" w:eastAsia="zh-CN"/>
        </w:rPr>
        <w:t>深化“机器管招投标”应用，强化标后稽查与履约监督。简化企业资质及人员审核流程。建立农村预拌混凝土站点长效动态监管机制，巩固整治成果，严防反弹。</w:t>
      </w:r>
    </w:p>
    <w:p w14:paraId="4DDC70E9">
      <w:pPr>
        <w:pStyle w:val="2"/>
        <w:keepNext w:val="0"/>
        <w:keepLines w:val="0"/>
        <w:pageBreakBefore w:val="0"/>
        <w:widowControl w:val="0"/>
        <w:kinsoku/>
        <w:wordWrap/>
        <w:overflowPunct/>
        <w:topLinePunct w:val="0"/>
        <w:autoSpaceDE/>
        <w:autoSpaceDN/>
        <w:bidi w:val="0"/>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（二）稳增长、调结构，实现产业发展新突破。</w:t>
      </w:r>
      <w:r>
        <w:rPr>
          <w:rFonts w:hint="eastAsia" w:ascii="仿宋_GB2312" w:hAnsi="仿宋_GB2312" w:eastAsia="仿宋_GB2312" w:cs="仿宋_GB2312"/>
          <w:color w:val="auto"/>
          <w:sz w:val="32"/>
          <w:szCs w:val="32"/>
          <w:lang w:val="en-US" w:eastAsia="zh-CN"/>
        </w:rPr>
        <w:t>围绕产业升级与项目落地，聚焦建筑业、房地产及环保项目，强化招商引智与政策扶持，推动产业高质量发展。</w:t>
      </w:r>
      <w:r>
        <w:rPr>
          <w:rFonts w:hint="eastAsia" w:ascii="仿宋_GB2312" w:hAnsi="仿宋_GB2312" w:eastAsia="仿宋_GB2312" w:cs="仿宋_GB2312"/>
          <w:b/>
          <w:bCs/>
          <w:color w:val="auto"/>
          <w:sz w:val="32"/>
          <w:szCs w:val="32"/>
          <w:lang w:val="en-US" w:eastAsia="zh-CN"/>
        </w:rPr>
        <w:t>一是推动建筑业转型。</w:t>
      </w:r>
      <w:r>
        <w:rPr>
          <w:rFonts w:hint="eastAsia" w:ascii="仿宋_GB2312" w:hAnsi="仿宋_GB2312" w:eastAsia="仿宋_GB2312" w:cs="仿宋_GB2312"/>
          <w:color w:val="auto"/>
          <w:sz w:val="32"/>
          <w:szCs w:val="32"/>
          <w:lang w:val="en-US" w:eastAsia="zh-CN"/>
        </w:rPr>
        <w:t>支持本地企业拓展市场，夯实统计基础，确保数据应统尽统。落实绿色建筑发展目标，新开工装配式建筑占比达52%，城镇新建民用建筑绿色建筑占比100%，力争获评1-2个一星级绿色建筑标识。</w:t>
      </w:r>
      <w:r>
        <w:rPr>
          <w:rFonts w:hint="eastAsia" w:ascii="仿宋_GB2312" w:hAnsi="仿宋_GB2312" w:eastAsia="仿宋_GB2312" w:cs="仿宋_GB2312"/>
          <w:b/>
          <w:bCs/>
          <w:color w:val="auto"/>
          <w:sz w:val="32"/>
          <w:szCs w:val="32"/>
          <w:lang w:val="en-US" w:eastAsia="zh-CN"/>
        </w:rPr>
        <w:t>二是稳定房地产市场。</w:t>
      </w:r>
      <w:r>
        <w:rPr>
          <w:rFonts w:hint="eastAsia" w:ascii="仿宋_GB2312" w:hAnsi="仿宋_GB2312" w:eastAsia="仿宋_GB2312" w:cs="仿宋_GB2312"/>
          <w:color w:val="auto"/>
          <w:sz w:val="32"/>
          <w:szCs w:val="32"/>
          <w:lang w:val="en-US" w:eastAsia="zh-CN"/>
        </w:rPr>
        <w:t>推动市场向“内生增长”转型，强化在建项目风险排查与预售资金监管，确保逾期交付项目清零、新开工项目按期交房。开发二手房交易系统，加强市场监管。</w:t>
      </w:r>
      <w:r>
        <w:rPr>
          <w:rFonts w:hint="eastAsia" w:ascii="仿宋_GB2312" w:hAnsi="仿宋_GB2312" w:eastAsia="仿宋_GB2312" w:cs="仿宋_GB2312"/>
          <w:b/>
          <w:bCs/>
          <w:color w:val="auto"/>
          <w:sz w:val="32"/>
          <w:szCs w:val="32"/>
          <w:lang w:val="en-US" w:eastAsia="zh-CN"/>
        </w:rPr>
        <w:t>三是加速项目建设与招商。</w:t>
      </w:r>
      <w:r>
        <w:rPr>
          <w:rFonts w:hint="eastAsia" w:ascii="仿宋_GB2312" w:hAnsi="仿宋_GB2312" w:eastAsia="仿宋_GB2312" w:cs="仿宋_GB2312"/>
          <w:color w:val="auto"/>
          <w:sz w:val="32"/>
          <w:szCs w:val="32"/>
          <w:lang w:val="en-US" w:eastAsia="zh-CN"/>
        </w:rPr>
        <w:t>加大精准招商力度，强化项目谋划、申报与服务，力争2026年落地1-2个重点项目。完成《安化县新型城镇化建设“十五五”规划》编制。</w:t>
      </w:r>
    </w:p>
    <w:p w14:paraId="5605A5D7">
      <w:pPr>
        <w:pStyle w:val="2"/>
        <w:keepNext w:val="0"/>
        <w:keepLines w:val="0"/>
        <w:pageBreakBefore w:val="0"/>
        <w:widowControl w:val="0"/>
        <w:kinsoku/>
        <w:wordWrap/>
        <w:overflowPunct/>
        <w:topLinePunct w:val="0"/>
        <w:autoSpaceDE/>
        <w:autoSpaceDN/>
        <w:bidi w:val="0"/>
        <w:snapToGrid/>
        <w:spacing w:line="560" w:lineRule="exact"/>
        <w:ind w:left="0" w:leftChars="0" w:firstLine="640" w:firstLineChars="200"/>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（三）塑形态、提品质，赋能城乡融合新场景。</w:t>
      </w:r>
      <w:r>
        <w:rPr>
          <w:rFonts w:hint="eastAsia" w:ascii="仿宋_GB2312" w:hAnsi="仿宋_GB2312" w:eastAsia="仿宋_GB2312" w:cs="仿宋_GB2312"/>
          <w:b w:val="0"/>
          <w:bCs w:val="0"/>
          <w:color w:val="auto"/>
          <w:sz w:val="32"/>
          <w:szCs w:val="32"/>
          <w:lang w:val="en-US" w:eastAsia="zh-CN"/>
        </w:rPr>
        <w:t>以城乡环境整治与历史文化保护为抓手，统筹推进污水处理、垃圾治理与传统村落保护，打造宜居宜业的城乡环境。</w:t>
      </w:r>
      <w:r>
        <w:rPr>
          <w:rFonts w:hint="eastAsia" w:ascii="仿宋_GB2312" w:hAnsi="仿宋_GB2312" w:eastAsia="仿宋_GB2312" w:cs="仿宋_GB2312"/>
          <w:b/>
          <w:bCs/>
          <w:color w:val="auto"/>
          <w:sz w:val="32"/>
          <w:szCs w:val="32"/>
          <w:lang w:val="en-US" w:eastAsia="zh-CN"/>
        </w:rPr>
        <w:t>一是系统治理污水。</w:t>
      </w:r>
      <w:r>
        <w:rPr>
          <w:rFonts w:hint="eastAsia" w:ascii="仿宋_GB2312" w:hAnsi="仿宋_GB2312" w:eastAsia="仿宋_GB2312" w:cs="仿宋_GB2312"/>
          <w:b w:val="0"/>
          <w:bCs w:val="0"/>
          <w:color w:val="auto"/>
          <w:sz w:val="32"/>
          <w:szCs w:val="32"/>
          <w:lang w:val="en-US" w:eastAsia="zh-CN"/>
        </w:rPr>
        <w:t>加快推进国家重点生态功能区安化县资江流域水环境治理工程项目建设。充实管理技术力量，理顺乡镇污水处理项目运营调度机制，依据管理办法压实各方责任。推进PPP项目后续运营管理，启动第一批乡镇污水处理费征收，完成工程验收与遗留问题处置。</w:t>
      </w:r>
      <w:r>
        <w:rPr>
          <w:rFonts w:hint="eastAsia" w:ascii="仿宋_GB2312" w:hAnsi="仿宋_GB2312" w:eastAsia="仿宋_GB2312" w:cs="仿宋_GB2312"/>
          <w:b/>
          <w:bCs/>
          <w:color w:val="auto"/>
          <w:sz w:val="32"/>
          <w:szCs w:val="32"/>
          <w:lang w:val="en-US" w:eastAsia="zh-CN"/>
        </w:rPr>
        <w:t>二是深化垃圾治理。</w:t>
      </w:r>
      <w:r>
        <w:rPr>
          <w:rFonts w:hint="eastAsia" w:ascii="仿宋_GB2312" w:hAnsi="仿宋_GB2312" w:eastAsia="仿宋_GB2312" w:cs="仿宋_GB2312"/>
          <w:b w:val="0"/>
          <w:bCs w:val="0"/>
          <w:color w:val="auto"/>
          <w:sz w:val="32"/>
          <w:szCs w:val="32"/>
          <w:lang w:val="en-US" w:eastAsia="zh-CN"/>
        </w:rPr>
        <w:t>强化城乡环卫一体化运营监管，保障收转运体系正常运转。对接生活垃圾焚烧发电厂，确保垃圾无害化、资源化处理。</w:t>
      </w:r>
      <w:r>
        <w:rPr>
          <w:rFonts w:hint="eastAsia" w:ascii="仿宋_GB2312" w:hAnsi="仿宋_GB2312" w:eastAsia="仿宋_GB2312" w:cs="仿宋_GB2312"/>
          <w:b/>
          <w:bCs/>
          <w:color w:val="auto"/>
          <w:sz w:val="32"/>
          <w:szCs w:val="32"/>
          <w:lang w:val="en-US" w:eastAsia="zh-CN"/>
        </w:rPr>
        <w:t>三是保护历史遗产。</w:t>
      </w:r>
      <w:r>
        <w:rPr>
          <w:rFonts w:hint="eastAsia" w:ascii="仿宋_GB2312" w:hAnsi="仿宋_GB2312" w:eastAsia="仿宋_GB2312" w:cs="仿宋_GB2312"/>
          <w:b w:val="0"/>
          <w:bCs w:val="0"/>
          <w:color w:val="auto"/>
          <w:sz w:val="32"/>
          <w:szCs w:val="32"/>
          <w:lang w:val="en-US" w:eastAsia="zh-CN"/>
        </w:rPr>
        <w:t>确保14个传统村落集中连片保护项目通过绩效考核验收。完善历史文化名村名街保护规划修订。完成11处历史建筑的测绘建档等后续工作。</w:t>
      </w:r>
    </w:p>
    <w:p w14:paraId="4287BF70">
      <w:pPr>
        <w:pStyle w:val="2"/>
        <w:keepNext w:val="0"/>
        <w:keepLines w:val="0"/>
        <w:pageBreakBefore w:val="0"/>
        <w:widowControl w:val="0"/>
        <w:kinsoku/>
        <w:wordWrap/>
        <w:overflowPunct/>
        <w:topLinePunct w:val="0"/>
        <w:autoSpaceDE/>
        <w:autoSpaceDN/>
        <w:bidi w:val="0"/>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（四）疏堵点、攻难点，擦亮民生福祉新底色。</w:t>
      </w:r>
      <w:r>
        <w:rPr>
          <w:rFonts w:hint="eastAsia" w:ascii="仿宋_GB2312" w:hAnsi="仿宋_GB2312" w:eastAsia="仿宋_GB2312" w:cs="仿宋_GB2312"/>
          <w:color w:val="auto"/>
          <w:sz w:val="32"/>
          <w:szCs w:val="32"/>
          <w:lang w:val="en-US" w:eastAsia="zh-CN"/>
        </w:rPr>
        <w:t>紧扣群众急难愁盼问题，强化民生服务保障，提升人民群众的获得感、幸福感、安全感。</w:t>
      </w:r>
      <w:r>
        <w:rPr>
          <w:rFonts w:hint="eastAsia" w:ascii="仿宋_GB2312" w:hAnsi="仿宋_GB2312" w:eastAsia="仿宋_GB2312" w:cs="仿宋_GB2312"/>
          <w:b/>
          <w:bCs/>
          <w:color w:val="auto"/>
          <w:sz w:val="32"/>
          <w:szCs w:val="32"/>
          <w:lang w:val="en-US" w:eastAsia="zh-CN"/>
        </w:rPr>
        <w:t>一是攻坚危房改造。</w:t>
      </w:r>
      <w:r>
        <w:rPr>
          <w:rFonts w:hint="eastAsia" w:ascii="仿宋_GB2312" w:hAnsi="仿宋_GB2312" w:eastAsia="仿宋_GB2312" w:cs="仿宋_GB2312"/>
          <w:color w:val="auto"/>
          <w:sz w:val="32"/>
          <w:szCs w:val="32"/>
          <w:lang w:val="en-US" w:eastAsia="zh-CN"/>
        </w:rPr>
        <w:t>完成新增危房改造任务，实现动态清零，完善长效管理机制，提升房屋安全品质。</w:t>
      </w:r>
      <w:r>
        <w:rPr>
          <w:rFonts w:hint="eastAsia" w:ascii="仿宋_GB2312" w:hAnsi="仿宋_GB2312" w:eastAsia="仿宋_GB2312" w:cs="仿宋_GB2312"/>
          <w:b/>
          <w:bCs/>
          <w:color w:val="auto"/>
          <w:sz w:val="32"/>
          <w:szCs w:val="32"/>
          <w:lang w:val="en-US" w:eastAsia="zh-CN"/>
        </w:rPr>
        <w:t>二是优化社区治理。</w:t>
      </w:r>
      <w:r>
        <w:rPr>
          <w:rFonts w:hint="eastAsia" w:ascii="仿宋_GB2312" w:hAnsi="仿宋_GB2312" w:eastAsia="仿宋_GB2312" w:cs="仿宋_GB2312"/>
          <w:color w:val="auto"/>
          <w:sz w:val="32"/>
          <w:szCs w:val="32"/>
          <w:lang w:val="en-US" w:eastAsia="zh-CN"/>
        </w:rPr>
        <w:t>提升矛盾调处能力，推动建立小区党组织、业委会、物业企业“三方联动”议事协调机制。</w:t>
      </w:r>
      <w:r>
        <w:rPr>
          <w:rFonts w:hint="eastAsia" w:ascii="仿宋_GB2312" w:hAnsi="仿宋_GB2312" w:eastAsia="仿宋_GB2312" w:cs="仿宋_GB2312"/>
          <w:b/>
          <w:bCs/>
          <w:color w:val="auto"/>
          <w:sz w:val="32"/>
          <w:szCs w:val="32"/>
          <w:lang w:val="en-US" w:eastAsia="zh-CN"/>
        </w:rPr>
        <w:t>三是加强市场引导与权益维护。</w:t>
      </w:r>
      <w:r>
        <w:rPr>
          <w:rFonts w:hint="eastAsia" w:ascii="仿宋_GB2312" w:hAnsi="仿宋_GB2312" w:eastAsia="仿宋_GB2312" w:cs="仿宋_GB2312"/>
          <w:color w:val="auto"/>
          <w:sz w:val="32"/>
          <w:szCs w:val="32"/>
          <w:lang w:val="en-US" w:eastAsia="zh-CN"/>
        </w:rPr>
        <w:t>健全房地产市场监测预警体系，引导理性购房。前置化解商品房交付、办证难等可能引发的信访风险，维护社会稳定。</w:t>
      </w:r>
    </w:p>
    <w:p w14:paraId="359370BD">
      <w:pPr>
        <w:pStyle w:val="2"/>
        <w:keepNext w:val="0"/>
        <w:keepLines w:val="0"/>
        <w:pageBreakBefore w:val="0"/>
        <w:widowControl w:val="0"/>
        <w:kinsoku/>
        <w:wordWrap/>
        <w:overflowPunct/>
        <w:topLinePunct w:val="0"/>
        <w:autoSpaceDE/>
        <w:autoSpaceDN/>
        <w:bidi w:val="0"/>
        <w:snapToGrid/>
        <w:spacing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val="0"/>
          <w:bCs w:val="0"/>
          <w:color w:val="auto"/>
          <w:sz w:val="32"/>
          <w:szCs w:val="32"/>
          <w:lang w:val="en-US" w:eastAsia="zh-CN"/>
        </w:rPr>
        <w:t>（五）重防范、添措施，探索安全稳定新路径。</w:t>
      </w:r>
      <w:r>
        <w:rPr>
          <w:rFonts w:hint="eastAsia" w:ascii="仿宋_GB2312" w:hAnsi="仿宋_GB2312" w:eastAsia="仿宋_GB2312" w:cs="仿宋_GB2312"/>
          <w:color w:val="auto"/>
          <w:sz w:val="32"/>
          <w:szCs w:val="32"/>
          <w:lang w:val="en-US" w:eastAsia="zh-CN"/>
        </w:rPr>
        <w:t>以风险防控与执法规范为重点，构建全方位监督体系，强化安全管理与执法能力，保障行业与社会稳定。</w:t>
      </w:r>
      <w:r>
        <w:rPr>
          <w:rFonts w:hint="eastAsia" w:ascii="仿宋_GB2312" w:hAnsi="仿宋_GB2312" w:eastAsia="仿宋_GB2312" w:cs="仿宋_GB2312"/>
          <w:b/>
          <w:bCs/>
          <w:color w:val="auto"/>
          <w:sz w:val="32"/>
          <w:szCs w:val="32"/>
          <w:lang w:val="en-US" w:eastAsia="zh-CN"/>
        </w:rPr>
        <w:t>一是筑牢安全防线。</w:t>
      </w:r>
      <w:r>
        <w:rPr>
          <w:rFonts w:hint="eastAsia" w:ascii="仿宋_GB2312" w:hAnsi="仿宋_GB2312" w:eastAsia="仿宋_GB2312" w:cs="仿宋_GB2312"/>
          <w:color w:val="auto"/>
          <w:sz w:val="32"/>
          <w:szCs w:val="32"/>
          <w:lang w:val="en-US" w:eastAsia="zh-CN"/>
        </w:rPr>
        <w:t>提升工程质量安全监督规范化水平，强化全过程风险管控。落实建筑工人实名制与农民工工资支付保障。深化施工扬尘治理。持续整治燃气安全，打击非法经营，压实企业主体责任，全面推行实名购气与统一配送，加快“智慧燃气平台”应用。</w:t>
      </w:r>
      <w:r>
        <w:rPr>
          <w:rFonts w:hint="eastAsia" w:ascii="仿宋_GB2312" w:hAnsi="仿宋_GB2312" w:eastAsia="仿宋_GB2312" w:cs="仿宋_GB2312"/>
          <w:b/>
          <w:bCs/>
          <w:color w:val="auto"/>
          <w:sz w:val="32"/>
          <w:szCs w:val="32"/>
          <w:lang w:val="en-US" w:eastAsia="zh-CN"/>
        </w:rPr>
        <w:t>二是规范执法监督。</w:t>
      </w:r>
      <w:r>
        <w:rPr>
          <w:rFonts w:hint="eastAsia" w:ascii="仿宋_GB2312" w:hAnsi="仿宋_GB2312" w:eastAsia="仿宋_GB2312" w:cs="仿宋_GB2312"/>
          <w:color w:val="auto"/>
          <w:sz w:val="32"/>
          <w:szCs w:val="32"/>
          <w:lang w:val="en-US" w:eastAsia="zh-CN"/>
        </w:rPr>
        <w:t>指导乡镇整合力量深化“打非治违”，通过培训提升基层执法能力。完善执法流程，加强执法监督，推动工作制度化、规范化。</w:t>
      </w:r>
      <w:r>
        <w:rPr>
          <w:rFonts w:hint="eastAsia" w:ascii="仿宋_GB2312" w:hAnsi="仿宋_GB2312" w:eastAsia="仿宋_GB2312" w:cs="仿宋_GB2312"/>
          <w:b/>
          <w:bCs/>
          <w:color w:val="auto"/>
          <w:sz w:val="32"/>
          <w:szCs w:val="32"/>
          <w:lang w:val="en-US" w:eastAsia="zh-CN"/>
        </w:rPr>
        <w:t>三是强化风险预警与应急。</w:t>
      </w:r>
      <w:r>
        <w:rPr>
          <w:rFonts w:hint="eastAsia" w:ascii="仿宋_GB2312" w:hAnsi="仿宋_GB2312" w:eastAsia="仿宋_GB2312" w:cs="仿宋_GB2312"/>
          <w:color w:val="auto"/>
          <w:sz w:val="32"/>
          <w:szCs w:val="32"/>
          <w:lang w:val="en-US" w:eastAsia="zh-CN"/>
        </w:rPr>
        <w:t>健全行业安全风险动态监测预警机制，完善应急预案并定期演练，提升突发事件处置能力。运用信息化手段加强风险源头管控。</w:t>
      </w:r>
    </w:p>
    <w:p w14:paraId="1D8E193E">
      <w:pPr>
        <w:keepNext w:val="0"/>
        <w:keepLines w:val="0"/>
        <w:pageBreakBefore w:val="0"/>
        <w:widowControl/>
        <w:numPr>
          <w:ilvl w:val="0"/>
          <w:numId w:val="2"/>
        </w:numPr>
        <w:kinsoku/>
        <w:wordWrap/>
        <w:overflowPunct/>
        <w:topLinePunct w:val="0"/>
        <w:autoSpaceDE/>
        <w:autoSpaceDN/>
        <w:bidi w:val="0"/>
        <w:adjustRightInd/>
        <w:snapToGrid/>
        <w:spacing w:line="576" w:lineRule="exact"/>
        <w:ind w:left="0" w:leftChars="0" w:firstLine="640" w:firstLineChars="200"/>
        <w:jc w:val="left"/>
        <w:textAlignment w:val="auto"/>
        <w:rPr>
          <w:rFonts w:hint="eastAsia" w:ascii="黑体" w:hAnsi="黑体" w:eastAsia="黑体" w:cs="宋体"/>
          <w:color w:val="000000"/>
          <w:kern w:val="0"/>
          <w:sz w:val="32"/>
          <w:szCs w:val="32"/>
        </w:rPr>
      </w:pPr>
      <w:bookmarkStart w:id="0" w:name="_GoBack"/>
      <w:bookmarkEnd w:id="0"/>
      <w:r>
        <w:rPr>
          <w:rFonts w:hint="eastAsia" w:ascii="黑体" w:hAnsi="黑体" w:eastAsia="黑体" w:cs="宋体"/>
          <w:color w:val="000000"/>
          <w:kern w:val="0"/>
          <w:sz w:val="32"/>
          <w:szCs w:val="32"/>
        </w:rPr>
        <w:t>绩效自评结果拟应用和公开情况</w:t>
      </w:r>
    </w:p>
    <w:p w14:paraId="3E0F4A5D">
      <w:pPr>
        <w:pStyle w:val="2"/>
        <w:numPr>
          <w:ilvl w:val="0"/>
          <w:numId w:val="0"/>
        </w:numPr>
        <w:ind w:leftChars="200"/>
        <w:rPr>
          <w:rFonts w:hint="eastAsia" w:eastAsia="宋体"/>
          <w:lang w:eastAsia="zh-CN"/>
        </w:rPr>
      </w:pPr>
      <w:r>
        <w:rPr>
          <w:rFonts w:hint="eastAsia" w:eastAsia="仿宋_GB2312" w:cs="Times New Roman"/>
          <w:kern w:val="0"/>
          <w:sz w:val="32"/>
          <w:szCs w:val="32"/>
          <w:lang w:val="en-US" w:eastAsia="zh-CN" w:bidi="ar-SA"/>
        </w:rPr>
        <w:t>暂未公开。</w:t>
      </w:r>
    </w:p>
    <w:p w14:paraId="5AFD5637">
      <w:pPr>
        <w:numPr>
          <w:ilvl w:val="0"/>
          <w:numId w:val="2"/>
        </w:numPr>
        <w:ind w:left="0" w:leftChars="0" w:firstLine="640" w:firstLineChars="200"/>
        <w:rPr>
          <w:rFonts w:hint="eastAsia" w:ascii="黑体" w:hAnsi="黑体" w:eastAsia="黑体" w:cs="宋体"/>
          <w:color w:val="000000"/>
          <w:kern w:val="0"/>
          <w:sz w:val="32"/>
          <w:szCs w:val="32"/>
        </w:rPr>
      </w:pPr>
      <w:r>
        <w:rPr>
          <w:rFonts w:hint="eastAsia" w:ascii="黑体" w:hAnsi="黑体" w:eastAsia="黑体" w:cs="宋体"/>
          <w:color w:val="000000"/>
          <w:kern w:val="0"/>
          <w:sz w:val="32"/>
          <w:szCs w:val="32"/>
        </w:rPr>
        <w:t>其他需要说明的情况</w:t>
      </w:r>
    </w:p>
    <w:p w14:paraId="618679C7">
      <w:pPr>
        <w:numPr>
          <w:ilvl w:val="0"/>
          <w:numId w:val="0"/>
        </w:numPr>
        <w:ind w:leftChars="200"/>
      </w:pPr>
      <w:r>
        <w:rPr>
          <w:rFonts w:hint="eastAsia" w:eastAsia="仿宋_GB2312" w:cs="Times New Roman"/>
          <w:kern w:val="0"/>
          <w:sz w:val="32"/>
          <w:szCs w:val="32"/>
          <w:lang w:val="en-US" w:eastAsia="zh-CN" w:bidi="ar-SA"/>
        </w:rPr>
        <w:t>无。</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F4109C"/>
    <w:multiLevelType w:val="singleLevel"/>
    <w:tmpl w:val="0DF4109C"/>
    <w:lvl w:ilvl="0" w:tentative="0">
      <w:start w:val="8"/>
      <w:numFmt w:val="chineseCounting"/>
      <w:suff w:val="nothing"/>
      <w:lvlText w:val="%1、"/>
      <w:lvlJc w:val="left"/>
      <w:rPr>
        <w:rFonts w:hint="eastAsia"/>
      </w:rPr>
    </w:lvl>
  </w:abstractNum>
  <w:abstractNum w:abstractNumId="1">
    <w:nsid w:val="7F4048D7"/>
    <w:multiLevelType w:val="singleLevel"/>
    <w:tmpl w:val="7F4048D7"/>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4YmQ5Y2MzMGVhMDY4NDkwNTBhM2FiMTI1OTFmZTEifQ=="/>
  </w:docVars>
  <w:rsids>
    <w:rsidRoot w:val="6D445020"/>
    <w:rsid w:val="05A54BEC"/>
    <w:rsid w:val="05B534EC"/>
    <w:rsid w:val="19DE771F"/>
    <w:rsid w:val="22BD56F5"/>
    <w:rsid w:val="2A3F30D5"/>
    <w:rsid w:val="2AC11AAE"/>
    <w:rsid w:val="32D44733"/>
    <w:rsid w:val="33357B76"/>
    <w:rsid w:val="44683831"/>
    <w:rsid w:val="69AB1B96"/>
    <w:rsid w:val="6D445020"/>
    <w:rsid w:val="6F154C7E"/>
    <w:rsid w:val="74C464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99"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99"/>
    <w:rPr>
      <w:rFonts w:ascii="Times New Roman" w:hAnsi="Times New Roman"/>
    </w:rPr>
  </w:style>
  <w:style w:type="paragraph" w:styleId="3">
    <w:name w:val="Body Text Indent"/>
    <w:basedOn w:val="1"/>
    <w:qFormat/>
    <w:uiPriority w:val="99"/>
    <w:pPr>
      <w:ind w:firstLine="640" w:firstLineChars="200"/>
    </w:pPr>
    <w:rPr>
      <w:sz w:val="32"/>
      <w:szCs w:val="32"/>
    </w:rPr>
  </w:style>
  <w:style w:type="paragraph" w:styleId="4">
    <w:name w:val="toc 5"/>
    <w:basedOn w:val="1"/>
    <w:next w:val="1"/>
    <w:unhideWhenUsed/>
    <w:qFormat/>
    <w:uiPriority w:val="39"/>
    <w:pPr>
      <w:ind w:left="1680" w:leftChars="800"/>
    </w:pPr>
    <w:rPr>
      <w:rFonts w:ascii="等线" w:hAnsi="等线" w:eastAsia="等线" w:cs="Times New Roman"/>
      <w:szCs w:val="22"/>
    </w:rPr>
  </w:style>
  <w:style w:type="paragraph" w:styleId="5">
    <w:name w:val="toc 1"/>
    <w:basedOn w:val="1"/>
    <w:next w:val="1"/>
    <w:unhideWhenUsed/>
    <w:qFormat/>
    <w:uiPriority w:val="99"/>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7">
    <w:name w:val="Body Text First Indent 2"/>
    <w:basedOn w:val="3"/>
    <w:qFormat/>
    <w:uiPriority w:val="99"/>
    <w:pPr>
      <w:ind w:firstLine="420"/>
    </w:pPr>
  </w:style>
  <w:style w:type="character" w:styleId="10">
    <w:name w:val="Strong"/>
    <w:basedOn w:val="9"/>
    <w:qFormat/>
    <w:uiPriority w:val="0"/>
    <w:rPr>
      <w:b/>
      <w:bCs/>
    </w:rPr>
  </w:style>
  <w:style w:type="paragraph" w:customStyle="1" w:styleId="11">
    <w:name w:val="Default"/>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paragraph" w:customStyle="1" w:styleId="12">
    <w:name w:val="Normal"/>
    <w:qFormat/>
    <w:uiPriority w:val="0"/>
    <w:pPr>
      <w:jc w:val="both"/>
    </w:pPr>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4193</Words>
  <Characters>4367</Characters>
  <Lines>0</Lines>
  <Paragraphs>0</Paragraphs>
  <TotalTime>0</TotalTime>
  <ScaleCrop>false</ScaleCrop>
  <LinksUpToDate>false</LinksUpToDate>
  <CharactersWithSpaces>4417</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2024-06-17T10:01:00Z</dcterms:created>
  <dc:creator>啊斌</dc:creator>
  <cp:lastModifiedBy>。</cp:lastModifiedBy>
  <cp:lastPrinted>2024-06-19T02:47:00Z</cp:lastPrinted>
  <dcterms:modified xsi:type="dcterms:W3CDTF">2026-05-07T08:57:07Z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C56A51A351DF47FAB17AB2E8FAEC998A_13</vt:lpwstr>
  </property>
  <property fmtid="{D5CDD505-2E9C-101B-9397-08002B2CF9AE}" pid="4" name="KSOTemplateDocerSaveRecord">
    <vt:lpwstr>eyJoZGlkIjoiMjA1NDZhYjA0YjIwMGYyMTI3YTU4MTNkMzg2NWFlYzQiLCJ1c2VySWQiOiI4MTUwODEyODkifQ==</vt:lpwstr>
  </property>
</Properties>
</file>