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105E2A">
      <w:pPr>
        <w:jc w:val="center"/>
        <w:rPr>
          <w:rFonts w:hint="eastAsia" w:ascii="黑体" w:hAnsi="黑体" w:eastAsia="黑体" w:cs="黑体"/>
          <w:sz w:val="52"/>
          <w:szCs w:val="52"/>
        </w:rPr>
      </w:pPr>
    </w:p>
    <w:p w14:paraId="60440C8B">
      <w:pPr>
        <w:jc w:val="center"/>
        <w:rPr>
          <w:rFonts w:hint="eastAsia" w:ascii="黑体" w:hAnsi="黑体" w:eastAsia="黑体" w:cs="黑体"/>
          <w:sz w:val="52"/>
          <w:szCs w:val="52"/>
        </w:rPr>
      </w:pPr>
    </w:p>
    <w:p w14:paraId="672699A7">
      <w:pPr>
        <w:jc w:val="center"/>
        <w:rPr>
          <w:rFonts w:hint="eastAsia" w:ascii="黑体" w:hAnsi="黑体" w:eastAsia="黑体" w:cs="黑体"/>
          <w:sz w:val="52"/>
          <w:szCs w:val="52"/>
        </w:rPr>
      </w:pPr>
    </w:p>
    <w:p w14:paraId="732A3B46">
      <w:pPr>
        <w:jc w:val="center"/>
        <w:rPr>
          <w:rFonts w:hint="eastAsia" w:ascii="黑体" w:hAnsi="黑体" w:eastAsia="黑体" w:cs="黑体"/>
          <w:sz w:val="52"/>
          <w:szCs w:val="52"/>
        </w:rPr>
      </w:pPr>
    </w:p>
    <w:p w14:paraId="1992E41F">
      <w:pPr>
        <w:jc w:val="center"/>
        <w:rPr>
          <w:rFonts w:hint="eastAsia" w:ascii="黑体" w:hAnsi="黑体" w:eastAsia="黑体" w:cs="黑体"/>
          <w:sz w:val="52"/>
          <w:szCs w:val="52"/>
        </w:rPr>
      </w:pPr>
    </w:p>
    <w:p w14:paraId="02087602">
      <w:pPr>
        <w:jc w:val="center"/>
        <w:rPr>
          <w:rFonts w:hint="eastAsia" w:ascii="黑体" w:hAnsi="黑体" w:eastAsia="黑体" w:cs="黑体"/>
          <w:sz w:val="52"/>
          <w:szCs w:val="52"/>
        </w:rPr>
      </w:pPr>
      <w:r>
        <w:rPr>
          <w:rFonts w:hint="eastAsia" w:ascii="黑体" w:hAnsi="黑体" w:eastAsia="黑体" w:cs="黑体"/>
          <w:sz w:val="52"/>
          <w:szCs w:val="52"/>
        </w:rPr>
        <w:t>202</w:t>
      </w:r>
      <w:r>
        <w:rPr>
          <w:rFonts w:hint="eastAsia" w:ascii="黑体" w:hAnsi="黑体" w:eastAsia="黑体" w:cs="黑体"/>
          <w:sz w:val="52"/>
          <w:szCs w:val="52"/>
          <w:lang w:val="en-US" w:eastAsia="zh-CN"/>
        </w:rPr>
        <w:t>5</w:t>
      </w:r>
      <w:r>
        <w:rPr>
          <w:rFonts w:hint="eastAsia" w:ascii="黑体" w:hAnsi="黑体" w:eastAsia="黑体" w:cs="黑体"/>
          <w:sz w:val="52"/>
          <w:szCs w:val="52"/>
        </w:rPr>
        <w:t>年度清塘铺镇人民政府整体支出绩效自评报告</w:t>
      </w:r>
    </w:p>
    <w:p w14:paraId="1ABE9F1A">
      <w:pPr>
        <w:jc w:val="center"/>
        <w:rPr>
          <w:rFonts w:hint="eastAsia" w:ascii="黑体" w:hAnsi="黑体" w:eastAsia="黑体" w:cs="黑体"/>
          <w:sz w:val="52"/>
          <w:szCs w:val="52"/>
        </w:rPr>
      </w:pPr>
    </w:p>
    <w:p w14:paraId="6B46C5AB">
      <w:pPr>
        <w:jc w:val="center"/>
        <w:rPr>
          <w:rFonts w:hint="eastAsia" w:ascii="黑体" w:hAnsi="黑体" w:eastAsia="黑体" w:cs="黑体"/>
          <w:sz w:val="52"/>
          <w:szCs w:val="52"/>
        </w:rPr>
      </w:pPr>
    </w:p>
    <w:p w14:paraId="08A3015F">
      <w:pPr>
        <w:jc w:val="center"/>
        <w:rPr>
          <w:rFonts w:hint="eastAsia" w:ascii="黑体" w:hAnsi="黑体" w:eastAsia="黑体" w:cs="黑体"/>
          <w:sz w:val="52"/>
          <w:szCs w:val="52"/>
        </w:rPr>
      </w:pPr>
    </w:p>
    <w:p w14:paraId="6DD389B0">
      <w:pPr>
        <w:jc w:val="center"/>
        <w:rPr>
          <w:rFonts w:hint="eastAsia" w:ascii="黑体" w:hAnsi="黑体" w:eastAsia="黑体" w:cs="黑体"/>
          <w:sz w:val="52"/>
          <w:szCs w:val="52"/>
        </w:rPr>
      </w:pPr>
    </w:p>
    <w:p w14:paraId="685578FF">
      <w:pPr>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申报单位：清塘铺镇人民政府</w:t>
      </w:r>
    </w:p>
    <w:p w14:paraId="48B630B9">
      <w:pPr>
        <w:jc w:val="center"/>
        <w:rPr>
          <w:rFonts w:hint="eastAsia" w:ascii="黑体" w:hAnsi="黑体" w:eastAsia="黑体" w:cs="黑体"/>
          <w:sz w:val="44"/>
          <w:szCs w:val="44"/>
          <w:lang w:val="en-US" w:eastAsia="zh-CN"/>
        </w:rPr>
      </w:pPr>
    </w:p>
    <w:p w14:paraId="6115AC3C">
      <w:pPr>
        <w:jc w:val="cente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2026年5月8日</w:t>
      </w:r>
    </w:p>
    <w:p w14:paraId="6F72A34D">
      <w:pPr>
        <w:jc w:val="center"/>
        <w:rPr>
          <w:rFonts w:hint="eastAsia" w:ascii="楷体" w:hAnsi="楷体" w:eastAsia="楷体" w:cs="楷体"/>
          <w:sz w:val="32"/>
          <w:szCs w:val="32"/>
          <w:lang w:val="en-US" w:eastAsia="zh-CN"/>
        </w:rPr>
        <w:sectPr>
          <w:pgSz w:w="11906" w:h="16838"/>
          <w:pgMar w:top="1440" w:right="1800" w:bottom="1440" w:left="1800" w:header="851" w:footer="992" w:gutter="0"/>
          <w:cols w:space="425" w:num="1"/>
          <w:docGrid w:type="lines" w:linePitch="312" w:charSpace="0"/>
        </w:sectPr>
      </w:pPr>
      <w:r>
        <w:rPr>
          <w:rFonts w:hint="eastAsia" w:ascii="楷体" w:hAnsi="楷体" w:eastAsia="楷体" w:cs="楷体"/>
          <w:sz w:val="32"/>
          <w:szCs w:val="32"/>
          <w:lang w:val="en-US" w:eastAsia="zh-CN"/>
        </w:rPr>
        <w:t>（此页为封面）</w:t>
      </w:r>
    </w:p>
    <w:p w14:paraId="108830D7">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清塘铺镇人民政府2025年度部门整体支出绩效报告</w:t>
      </w:r>
    </w:p>
    <w:p w14:paraId="553E4E7D">
      <w:p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一、部门概况</w:t>
      </w:r>
    </w:p>
    <w:p w14:paraId="10F3DC33">
      <w:pPr>
        <w:jc w:val="left"/>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（一）部门基本情况</w:t>
      </w:r>
    </w:p>
    <w:p w14:paraId="30B2698D">
      <w:pPr>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1.主要职能</w:t>
      </w:r>
    </w:p>
    <w:p w14:paraId="4B93EC20">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楷体" w:hAnsi="楷体" w:eastAsia="楷体" w:cs="楷体"/>
          <w:sz w:val="32"/>
          <w:szCs w:val="32"/>
          <w:lang w:val="en-US" w:eastAsia="zh-CN"/>
        </w:rPr>
        <w:t>（</w:t>
      </w:r>
      <w:r>
        <w:rPr>
          <w:rFonts w:hint="eastAsia" w:ascii="仿宋_GB2312" w:hAnsi="仿宋_GB2312" w:eastAsia="仿宋_GB2312" w:cs="仿宋_GB2312"/>
          <w:sz w:val="32"/>
          <w:szCs w:val="32"/>
          <w:lang w:val="en-US" w:eastAsia="zh-CN"/>
        </w:rPr>
        <w:t>1）执行本级人民代表大会的决议和上级国家行政机关的决定和命令；</w:t>
      </w:r>
    </w:p>
    <w:p w14:paraId="282F03F1">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（2）执行本行政区域内的经济和社会发展计划、预算，管理本行政区域内的经济、教育、科学、文化、卫生、体育事业和财政、民政、公安、司法行政、计划生育等行政工作；</w:t>
      </w:r>
    </w:p>
    <w:p w14:paraId="4F94D144">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（3）保护社会主义的全民所有的财产和劳动群众集体所有财产，保护公民私有的合法财产，维护社会秩序，保障公民的人身权利、民主权利和其他权利；</w:t>
      </w:r>
    </w:p>
    <w:p w14:paraId="3F9204E0">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（4）保障农村集体经济组织应有的自主权；</w:t>
      </w:r>
    </w:p>
    <w:p w14:paraId="67A5C274">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（5）保障少数民族的权利和尊重少数民族的风俗习惯；</w:t>
      </w:r>
    </w:p>
    <w:p w14:paraId="148ACD51">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（6）保障宪法和法律赋予妇女的男女平等、同工同酬和婚姻自由等各项权利；</w:t>
      </w:r>
    </w:p>
    <w:p w14:paraId="38F45816">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（7）办理上级人民政府交办的其他事项。</w:t>
      </w:r>
    </w:p>
    <w:p w14:paraId="20B5F88B">
      <w:pPr>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2.机构设置</w:t>
      </w:r>
    </w:p>
    <w:p w14:paraId="2EE8590F">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根据编委核定，本级政府设置党政机构6个，事业单位5 个，全部纳入2024年部门预算编制范围。党政机构6个，分别是党政办公室、党建办公室、经济发展办公室、生态办公室、平安法治和应急管理办公室、财政办公室；事业单位5个，分别为社会事务综合服务中心、农业综合服务中心、自然资源和村镇建设事务中心、退役军人服务站、综合执法大队。</w:t>
      </w:r>
    </w:p>
    <w:p w14:paraId="20AF9746">
      <w:pPr>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3.人员情况</w:t>
      </w:r>
    </w:p>
    <w:p w14:paraId="0B2CA5B7">
      <w:pPr>
        <w:keepNext w:val="0"/>
        <w:keepLines w:val="0"/>
        <w:pageBreakBefore w:val="0"/>
        <w:widowControl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2025年本单位年末实有人数113人，比上年增加2人。人员变化的主要原因是：在职人员退休及考录调入。</w:t>
      </w:r>
    </w:p>
    <w:p w14:paraId="019ABC67">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z w:val="32"/>
          <w:szCs w:val="32"/>
          <w:lang w:val="en-US" w:eastAsia="zh-CN"/>
        </w:rPr>
        <w:t>（二）部门整体支出规模、使用方向和主要内容、涉及范围等</w:t>
      </w:r>
    </w:p>
    <w:p w14:paraId="354CDD28">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2025年度收、支总计5010.96万元。与上年相比，增加 321.69万元，增加 6.86%。主要原因是：项目资金拨款增多。本年收入合计5010.96 万元，其中：一般公共预算财政拨款收入完成4824.09万元，比上年增加 281万元，增加 6.19%，变化的主要原因是：项目经费增加等；政府性基金财政拨款收入完成123.59万元，比上年增加 88.87万元，增长255.96%，变化的主要原因是：国有土地出让净收益乡镇分成等增多；上级补助收入完成0万元，比上年增长(下降)0万元，增长(下降)0%，；事业收入完成0万元，比上年增长(下降)0万元，增长(下降)0%；经营收入完成0万元，比上年增长(下降)0万元,增长(下降)0%；附属单位上缴收入完成0万元，比上年增长(下降)0万元,增长(下降)0%；其他收入完成63.28万元，比上年减少48.18万元,减少43.23%，变化的主要原因是：今年到村的基础建设项目减少。</w:t>
      </w:r>
    </w:p>
    <w:p w14:paraId="37BCD6ED">
      <w:pPr>
        <w:numPr>
          <w:ilvl w:val="0"/>
          <w:numId w:val="1"/>
        </w:num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部门整体支出管理及使用情况分析</w:t>
      </w:r>
    </w:p>
    <w:p w14:paraId="7E451E55">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本年支出合计5010.96万元，其中：基本支出 1725.33</w:t>
      </w:r>
      <w:r>
        <w:rPr>
          <w:rFonts w:hint="eastAsia" w:ascii="仿宋_GB2312" w:hAnsi="仿宋_GB2312" w:eastAsia="仿宋_GB2312" w:cs="仿宋_GB2312"/>
          <w:sz w:val="32"/>
          <w:szCs w:val="32"/>
          <w:lang w:val="en-US" w:eastAsia="zh-CN"/>
        </w:rPr>
        <w:t>万元，占 34.43%；项目支出 3285.62</w:t>
      </w:r>
      <w:r>
        <w:rPr>
          <w:rFonts w:hint="eastAsia" w:ascii="仿宋_GB2312" w:hAnsi="仿宋_GB2312" w:eastAsia="仿宋_GB2312" w:cs="仿宋_GB2312"/>
          <w:sz w:val="32"/>
          <w:szCs w:val="32"/>
          <w:lang w:val="en-US" w:eastAsia="zh-CN"/>
        </w:rPr>
        <w:t>万元，占 65.57%；2025 年度收入支出为5010.96 万元，主要用于以下方面：一般公共服务支出1173.89 万元，占 23.43%；社会保障和就业支出 291.94万元，占5.83%；卫生健康支出60.56万元，占 1.2%；节能环保支出1919.03万元，占 38.3%；城乡社区支出 800.96万元，占 15.98%；自然资源海洋气象支出74.25万元，占1.48%；农林水支出 307.1万元，占 6.13%；住房保障支出 119.52万元，占2.39%；灾害防治及应急管理支出217.2万元，占 4.33%；其他支出 46.5 万元，占0.93%。</w:t>
      </w:r>
    </w:p>
    <w:p w14:paraId="09C6D552">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（一）基本支出</w:t>
      </w:r>
    </w:p>
    <w:p w14:paraId="18C0EAFB">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基本支出1725.33万元，其中：人员经费1587.41万元，占基本支出的92.01%,主要包括基本工资、津贴补贴、奖金、绩效工资、机关事业单位基本养老保险缴费、职工基本医疗保险缴费、其他社会保障缴费、住房公积金、其他工资福利支出、离休费、抚恤金、生活补助、奖励金、其他对个人和家庭的补助；公用经费137.92万元，占基本支出的7.99%，主要包括办公费、水费、电费、差旅费、会议费、培训费、公务接待费、公务用车运行维护费、其他交通费、其他商品和服务支出。“三公经费”控制情况：“三公”经费支出4万元比上年减少20.94万元，增减变化的主要原因是：2025年严控“三公”经费。其中：因公出国（境）费支出0万元，与上年无变化。</w:t>
      </w:r>
    </w:p>
    <w:p w14:paraId="20F93EAD">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黑体" w:hAnsi="黑体" w:eastAsia="黑体" w:cs="黑体"/>
          <w:sz w:val="32"/>
          <w:szCs w:val="32"/>
          <w:lang w:val="en-US" w:eastAsia="zh-CN"/>
        </w:rPr>
      </w:pPr>
      <w:r>
        <w:rPr>
          <w:rFonts w:hint="eastAsia" w:ascii="仿宋_GB2312" w:hAnsi="仿宋_GB2312" w:eastAsia="仿宋_GB2312" w:cs="仿宋_GB2312"/>
          <w:sz w:val="32"/>
          <w:szCs w:val="32"/>
          <w:lang w:val="en-US" w:eastAsia="zh-CN"/>
        </w:rPr>
        <w:t>公务接待费完成0万元，比上年减少20.94万元，增减变化的主要原因是：严控严控“三公”经费；</w:t>
      </w:r>
    </w:p>
    <w:p w14:paraId="09941BDE">
      <w:pPr>
        <w:keepNext w:val="0"/>
        <w:keepLines w:val="0"/>
        <w:pageBreakBefore w:val="0"/>
        <w:widowControl w:val="0"/>
        <w:numPr>
          <w:numId w:val="0"/>
        </w:numPr>
        <w:kinsoku/>
        <w:wordWrap/>
        <w:overflowPunct/>
        <w:topLinePunct w:val="0"/>
        <w:autoSpaceDE/>
        <w:autoSpaceDN/>
        <w:bidi w:val="0"/>
        <w:adjustRightInd/>
        <w:snapToGrid/>
        <w:ind w:firstLine="640" w:firstLineChars="200"/>
        <w:jc w:val="left"/>
        <w:textAlignment w:val="auto"/>
        <w:rPr>
          <w:rFonts w:hint="eastAsia" w:ascii="黑体" w:hAnsi="黑体" w:eastAsia="黑体" w:cs="黑体"/>
          <w:sz w:val="32"/>
          <w:szCs w:val="32"/>
          <w:lang w:val="en-US" w:eastAsia="zh-CN"/>
        </w:rPr>
      </w:pPr>
      <w:r>
        <w:rPr>
          <w:rFonts w:hint="eastAsia" w:ascii="仿宋_GB2312" w:hAnsi="仿宋_GB2312" w:eastAsia="仿宋_GB2312" w:cs="仿宋_GB2312"/>
          <w:sz w:val="32"/>
          <w:szCs w:val="32"/>
          <w:lang w:val="en-US" w:eastAsia="zh-CN"/>
        </w:rPr>
        <w:t>公务用车购置及运行维护费完成4万元，比上年持平，增减变化的主要原因是：严控公用经费。</w:t>
      </w:r>
    </w:p>
    <w:p w14:paraId="51058E3E">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（二）项目支出</w:t>
      </w:r>
    </w:p>
    <w:p w14:paraId="2048D460">
      <w:pPr>
        <w:jc w:val="left"/>
        <w:rPr>
          <w:rFonts w:hint="eastAsia" w:ascii="黑体" w:hAnsi="黑体" w:eastAsia="黑体" w:cs="黑体"/>
          <w:sz w:val="32"/>
          <w:szCs w:val="32"/>
          <w:lang w:val="en-US" w:eastAsia="zh-CN"/>
        </w:rPr>
      </w:pPr>
      <w:r>
        <w:rPr>
          <w:rFonts w:hint="eastAsia" w:ascii="仿宋" w:hAnsi="仿宋" w:eastAsia="仿宋" w:cs="仿宋"/>
          <w:b/>
          <w:bCs/>
          <w:sz w:val="32"/>
          <w:szCs w:val="32"/>
          <w:lang w:val="en-US" w:eastAsia="zh-CN"/>
        </w:rPr>
        <w:t>1. 项目资金（包括财政资金、自筹资金等）安排落实、总投入等情况分析。</w:t>
      </w:r>
    </w:p>
    <w:p w14:paraId="378B16C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2025年度项目支出3285.62万元,其中商品和服务支出</w:t>
      </w:r>
      <w:r>
        <w:rPr>
          <w:rFonts w:hint="eastAsia" w:ascii="仿宋_GB2312" w:hAnsi="仿宋_GB2312" w:eastAsia="仿宋_GB2312" w:cs="仿宋_GB2312"/>
          <w:color w:val="0000FF"/>
          <w:sz w:val="32"/>
          <w:szCs w:val="32"/>
          <w:lang w:val="en-US" w:eastAsia="zh-CN"/>
        </w:rPr>
        <w:t>694.4</w:t>
      </w:r>
      <w:r>
        <w:rPr>
          <w:rFonts w:hint="eastAsia" w:ascii="仿宋_GB2312" w:hAnsi="仿宋_GB2312" w:eastAsia="仿宋_GB2312" w:cs="仿宋_GB2312"/>
          <w:sz w:val="32"/>
          <w:szCs w:val="32"/>
          <w:lang w:val="en-US" w:eastAsia="zh-CN"/>
        </w:rPr>
        <w:t xml:space="preserve">万元、资本性支出 </w:t>
      </w:r>
      <w:r>
        <w:rPr>
          <w:rFonts w:hint="eastAsia" w:ascii="仿宋_GB2312" w:hAnsi="仿宋_GB2312" w:eastAsia="仿宋_GB2312" w:cs="仿宋_GB2312"/>
          <w:color w:val="0000FF"/>
          <w:sz w:val="32"/>
          <w:szCs w:val="32"/>
          <w:lang w:val="en-US" w:eastAsia="zh-CN"/>
        </w:rPr>
        <w:t>2104.35</w:t>
      </w:r>
      <w:r>
        <w:rPr>
          <w:rFonts w:hint="eastAsia" w:ascii="仿宋_GB2312" w:hAnsi="仿宋_GB2312" w:eastAsia="仿宋_GB2312" w:cs="仿宋_GB2312"/>
          <w:sz w:val="32"/>
          <w:szCs w:val="32"/>
          <w:lang w:val="en-US" w:eastAsia="zh-CN"/>
        </w:rPr>
        <w:t>万元。</w:t>
      </w:r>
    </w:p>
    <w:p w14:paraId="7ED12A0E">
      <w:pPr>
        <w:jc w:val="left"/>
        <w:rPr>
          <w:rFonts w:hint="eastAsia" w:ascii="黑体" w:hAnsi="黑体" w:eastAsia="黑体" w:cs="黑体"/>
          <w:sz w:val="32"/>
          <w:szCs w:val="32"/>
          <w:lang w:val="en-US" w:eastAsia="zh-CN"/>
        </w:rPr>
      </w:pPr>
      <w:r>
        <w:rPr>
          <w:rFonts w:hint="eastAsia" w:ascii="仿宋" w:hAnsi="仿宋" w:eastAsia="仿宋" w:cs="仿宋"/>
          <w:b/>
          <w:bCs/>
          <w:sz w:val="32"/>
          <w:szCs w:val="32"/>
          <w:lang w:val="en-US" w:eastAsia="zh-CN"/>
        </w:rPr>
        <w:t>2.项目资金（主要指财政资金）实际使用情况分析。</w:t>
      </w:r>
    </w:p>
    <w:p w14:paraId="3BA54E15">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黑体" w:hAnsi="黑体" w:eastAsia="黑体" w:cs="黑体"/>
          <w:sz w:val="32"/>
          <w:szCs w:val="32"/>
          <w:lang w:val="en-US" w:eastAsia="zh-CN"/>
        </w:rPr>
      </w:pPr>
      <w:r>
        <w:rPr>
          <w:rFonts w:hint="eastAsia" w:ascii="仿宋_GB2312" w:hAnsi="仿宋_GB2312" w:eastAsia="仿宋_GB2312" w:cs="仿宋_GB2312"/>
          <w:sz w:val="32"/>
          <w:szCs w:val="32"/>
          <w:lang w:val="en-US" w:eastAsia="zh-CN"/>
        </w:rPr>
        <w:t>2025年度项目支出3285.62万元，主要项目包括：2022年中央土壤污染防治专项资金（第二批）226.7万元；2025年经建专项补助资金（清塘镇云雾山村姚家大坝和蒋家冲渠道加固维修）10万元；2023年恢复耕地剩余补助经费37.15万元；2022-2023年新增耕地后期管护费36.74万元；2025年切坡建房地质灾害隐患治理3.2万元；2025年中央水利发展资金（第一批）（小型水库维修养护资金）0.96万元；2025年中央水利发展资金（第一批）6.3万元；2024年财政农业资金（曾家桥村））3万元；2025年第一批财政农业资金；清塘铺镇晓桥铺村下洞片村级公路建设5万元；2024年财政农业资金（沙坪村）4万元；2024年第一批专项补助资金19万元等。</w:t>
      </w:r>
    </w:p>
    <w:p w14:paraId="30C89185">
      <w:pPr>
        <w:numPr>
          <w:ilvl w:val="0"/>
          <w:numId w:val="2"/>
        </w:numPr>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项目资金管理情况分析，主要包括管理制度、办法的制订及执行情况。</w:t>
      </w:r>
    </w:p>
    <w:p w14:paraId="10321C93">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支出严格按照国家财经法规、预算资金管理办法、财务管理制度以及省级政府对财政专项资金管理有关法规的规定执行，把项目资金的审批分配、监督检查与绩效评价结合起来。项目支出中用于采购货物、服务类、拨款类等资金支出由国库集中支付，其他支出遵循先预算、再审批、后支出的原则，确保了财政资金分配和财政审批程序合法、保证了项目资金的合理使用。</w:t>
      </w:r>
    </w:p>
    <w:p w14:paraId="3F0AEF07">
      <w:pPr>
        <w:numPr>
          <w:ilvl w:val="0"/>
          <w:numId w:val="1"/>
        </w:num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项目组织实施情况分析</w:t>
      </w:r>
    </w:p>
    <w:p w14:paraId="2E6CBA72">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（一）项目组织情况分析，主要包括项目招投标、调整、竣工验收等情况。</w:t>
      </w:r>
    </w:p>
    <w:p w14:paraId="7B71FA01">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组织实施的政务公开标准化体系建设项目招投标工作均本着公平、公正、科学、择优的原则，严格按照有关规定进行招标，在指定媒介发布招标公告，并按公告约定时间、地点开标、评标。开标、评标过程均受财政、纪检等行政监督部门行政监督。狠抓项目申报、评审、验收等关键环节的作风建设，进一步充实专家库，强化项目评审专业性，实现立项前现场考察全覆盖，对项目真实性、可行性进行严格把关。切实做好到期项目结题验收，确保专项资金使用成效。</w:t>
      </w:r>
    </w:p>
    <w:p w14:paraId="3C06ADC3">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（三）项目管理情况分析，主要包括项目管理制度建设、曰常检查监督管理等情况。</w:t>
      </w:r>
    </w:p>
    <w:p w14:paraId="363C34B1">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我镇所有项目建设均按照有关规章制度和项目实施完成情况进行资金支付。在项目实施过程中，工作人员能严格执行制度的相关规定，派专人负责督查，确保建设任务按时高效完成。</w:t>
      </w:r>
    </w:p>
    <w:p w14:paraId="70BE599C">
      <w:pPr>
        <w:numPr>
          <w:ilvl w:val="0"/>
          <w:numId w:val="1"/>
        </w:num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国有资本经营预算支出情况</w:t>
      </w:r>
    </w:p>
    <w:p w14:paraId="16D01F21">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2025年本部门无国有资本经营预算的支出。</w:t>
      </w:r>
    </w:p>
    <w:p w14:paraId="1A7FF3D0">
      <w:pPr>
        <w:numPr>
          <w:ilvl w:val="0"/>
          <w:numId w:val="1"/>
        </w:num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社会保险基金预算支出情况</w:t>
      </w:r>
    </w:p>
    <w:p w14:paraId="6C1F3113">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2025年本部门无社会保险基金预算的支出。</w:t>
      </w:r>
    </w:p>
    <w:p w14:paraId="61BD3CFA">
      <w:pPr>
        <w:numPr>
          <w:ilvl w:val="0"/>
          <w:numId w:val="1"/>
        </w:num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部门整体支出绩效情况分析</w:t>
      </w:r>
    </w:p>
    <w:p w14:paraId="0F4C745B">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我镇根据年初工作规划及财政预算计划,积极履职、强化管理，较好地完成了年度工作目标。根据预算绩效管理要求，我部门组织对2025年度一般公共预算项目支出全面开展绩效自评，共涉及资金3285.62万元，占一般公共预算项目支出总额的100%。组织对2025年度政府性基金预算项目支出开展绩效自评，共涉及资金123.59万元，占政府性基金预算项目支出总额的100%。通过加强预算收支管理、不断建立健全内部管理制度、梳理内部管理流程，部门整体支出管理情况得到提升。</w:t>
      </w:r>
    </w:p>
    <w:p w14:paraId="39CA540A">
      <w:pPr>
        <w:numPr>
          <w:ilvl w:val="0"/>
          <w:numId w:val="1"/>
        </w:num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绩效评价工作开展情况</w:t>
      </w:r>
    </w:p>
    <w:p w14:paraId="21799B6A">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z w:val="32"/>
          <w:szCs w:val="32"/>
          <w:lang w:val="en-US" w:eastAsia="zh-CN"/>
        </w:rPr>
        <w:t>（一）绩效评价目的</w:t>
      </w:r>
    </w:p>
    <w:p w14:paraId="7B98EB6A">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此次绩效评价的目的是：严格落实《预算法》及省、市、县绩效管理工作的有关规定，进一步规范财政资金的管理，强化财政支出绩效理念，提升部门责任意识，提高资金使用效益，促进行政工作的发展。</w:t>
      </w:r>
    </w:p>
    <w:p w14:paraId="11A62EE3">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（二）绩效评价的主要过程</w:t>
      </w:r>
    </w:p>
    <w:p w14:paraId="2E02726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绩效评价的要求，我们成立了自评工作领导小组，对照自评方案进行研究和布署，按照自评方案的要求，对照各实施项目的内容逐条逐项自评。在自评过程发现问题，查找原因，及时纠正偏差，为下一步工作夯实基础。</w:t>
      </w:r>
    </w:p>
    <w:p w14:paraId="10F4737D">
      <w:pPr>
        <w:numPr>
          <w:ilvl w:val="0"/>
          <w:numId w:val="1"/>
        </w:numPr>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存在的主要问题及改进措施</w:t>
      </w:r>
    </w:p>
    <w:p w14:paraId="6DEEC587">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黑体" w:hAnsi="黑体" w:eastAsia="黑体" w:cs="黑体"/>
          <w:sz w:val="32"/>
          <w:szCs w:val="32"/>
          <w:lang w:val="en-US" w:eastAsia="zh-CN"/>
        </w:rPr>
      </w:pPr>
      <w:r>
        <w:rPr>
          <w:rFonts w:hint="eastAsia" w:ascii="楷体" w:hAnsi="楷体" w:eastAsia="楷体" w:cs="楷体"/>
          <w:b/>
          <w:bCs/>
          <w:sz w:val="32"/>
          <w:szCs w:val="32"/>
          <w:lang w:val="en-US" w:eastAsia="zh-CN"/>
        </w:rPr>
        <w:t>（一）存在的问题</w:t>
      </w:r>
    </w:p>
    <w:p w14:paraId="0D53DC72">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（1）预算绩效观念不深入。我镇在日常财务工作中存在着一定程度的“重分配、轻管理、重支出、轻绩效”的情况，造成该问题的主要原因是自身绩效理念较薄弱，对于资金绩效管理的重视不够。</w:t>
      </w:r>
    </w:p>
    <w:p w14:paraId="5785D075">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预算绩效规范管理没方向。在市财政逐步加强绩效管理的情况下，我镇财务人员面对当前绩效管理工作既没有现成的经验可供借鉴，又缺乏很强的专业知识，只能是边工作、边学习、边积累，短期内部分工作只能停留在表面，难以做到程序规范、管理科学，难以满足当前绩效管理要求。</w:t>
      </w:r>
    </w:p>
    <w:p w14:paraId="117276AA">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（二）改进措施</w:t>
      </w:r>
    </w:p>
    <w:p w14:paraId="0F82F3DF">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增强绩效管理理念。在管理和使用预算资金的过程中，我镇将更加突出资金使用绩效，做到“花钱必问效”。在资金的使用上要有时效，对项目的实施与监管上要加大力度，把好时问关，让资金的使用达到最大效益化。</w:t>
      </w:r>
    </w:p>
    <w:p w14:paraId="2A19EA61">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（2）加强财务知识培训。我镇希望上级财政，针对预算资金绩效管理和相关法律法规，对乡镇财务人员开展培训，全面学习预算绩效管理操作，让账务处理更加规范，让绩效理念深入人心。</w:t>
      </w:r>
    </w:p>
    <w:p w14:paraId="029E628E">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p>
    <w:p w14:paraId="0CDD9656">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p>
    <w:p w14:paraId="7F6172BB">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p>
    <w:p w14:paraId="16911C08">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p>
    <w:p w14:paraId="53D82784">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bookmarkStart w:id="0" w:name="_GoBack"/>
      <w:bookmarkEnd w:id="0"/>
    </w:p>
    <w:p w14:paraId="232E20FA">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p>
    <w:p w14:paraId="0E0EC3FD">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安化具清塘铺镇人民政府</w:t>
      </w:r>
    </w:p>
    <w:p w14:paraId="1F9FE2E1">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2026年5月 8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12E416"/>
    <w:multiLevelType w:val="singleLevel"/>
    <w:tmpl w:val="F212E416"/>
    <w:lvl w:ilvl="0" w:tentative="0">
      <w:start w:val="3"/>
      <w:numFmt w:val="decimal"/>
      <w:lvlText w:val="%1."/>
      <w:lvlJc w:val="left"/>
      <w:pPr>
        <w:tabs>
          <w:tab w:val="left" w:pos="312"/>
        </w:tabs>
      </w:pPr>
    </w:lvl>
  </w:abstractNum>
  <w:abstractNum w:abstractNumId="1">
    <w:nsid w:val="6AFA51EB"/>
    <w:multiLevelType w:val="singleLevel"/>
    <w:tmpl w:val="6AFA51EB"/>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045DC6"/>
    <w:rsid w:val="61045DC6"/>
    <w:rsid w:val="640D4E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11</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2026-05-08T03:32:00Z</dcterms:created>
  <dc:creator>山崎玉子</dc:creator>
  <cp:lastModifiedBy>山崎玉子</cp:lastModifiedBy>
  <dcterms:modified xsi:type="dcterms:W3CDTF">2026-05-08T07:42:28Z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4BADF9BC6A2644F4911317F9CFF0D78F_11</vt:lpwstr>
  </property>
  <property fmtid="{D5CDD505-2E9C-101B-9397-08002B2CF9AE}" pid="4" name="KSOTemplateDocerSaveRecord">
    <vt:lpwstr>eyJoZGlkIjoiMDJlNGMxZTk3ZjgyMWI2NzkxYzU4ZWIzODE3YmMzMmUiLCJ1c2VySWQiOiIxMDcxNTA0NDA0In0=</vt:lpwstr>
  </property>
</Properties>
</file>