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68472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仿宋"/>
          <w:sz w:val="32"/>
          <w:szCs w:val="32"/>
          <w:lang w:val="en-US" w:eastAsia="zh-CN"/>
        </w:rPr>
        <w:t>4</w:t>
      </w:r>
    </w:p>
    <w:p w14:paraId="1D066B8B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57BB3764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F62AAFF">
      <w:pPr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7347A9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  <w:lang w:val="en-US" w:eastAsia="zh-CN"/>
        </w:rPr>
        <w:t>2025年度安化县乐安镇人民政府</w:t>
      </w:r>
    </w:p>
    <w:p w14:paraId="1BB9B5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微软雅黑" w:hAnsi="微软雅黑" w:eastAsia="微软雅黑" w:cs="微软雅黑"/>
          <w:sz w:val="52"/>
          <w:szCs w:val="52"/>
          <w:lang w:eastAsia="zh-CN"/>
        </w:rPr>
      </w:pPr>
      <w:r>
        <w:rPr>
          <w:rFonts w:hint="eastAsia" w:ascii="微软雅黑" w:hAnsi="微软雅黑" w:eastAsia="微软雅黑" w:cs="微软雅黑"/>
          <w:sz w:val="52"/>
          <w:szCs w:val="52"/>
        </w:rPr>
        <w:t>整体支出</w:t>
      </w:r>
      <w:r>
        <w:rPr>
          <w:rFonts w:hint="eastAsia" w:ascii="微软雅黑" w:hAnsi="微软雅黑" w:eastAsia="微软雅黑" w:cs="微软雅黑"/>
          <w:sz w:val="52"/>
          <w:szCs w:val="52"/>
          <w:lang w:eastAsia="zh-CN"/>
        </w:rPr>
        <w:t>绩效自评报告</w:t>
      </w:r>
    </w:p>
    <w:p w14:paraId="259CC34B">
      <w:pPr>
        <w:widowControl/>
        <w:ind w:firstLine="361" w:firstLineChars="100"/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0A63115"/>
    <w:p w14:paraId="23DC1C5C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1FCF5A19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4BA370F2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23F8E7A8">
      <w:pPr>
        <w:rPr>
          <w:rFonts w:ascii="楷体" w:hAnsi="楷体" w:eastAsia="楷体" w:cs="楷体"/>
          <w:b/>
          <w:bCs/>
          <w:kern w:val="0"/>
          <w:sz w:val="36"/>
          <w:szCs w:val="36"/>
        </w:rPr>
      </w:pPr>
    </w:p>
    <w:p w14:paraId="3427B930">
      <w:pPr>
        <w:pStyle w:val="5"/>
      </w:pPr>
    </w:p>
    <w:p w14:paraId="311F1E4D">
      <w:pPr>
        <w:widowControl/>
        <w:ind w:firstLine="361" w:firstLineChars="100"/>
        <w:rPr>
          <w:rFonts w:hint="eastAsia" w:ascii="楷体" w:hAnsi="楷体" w:eastAsia="楷体" w:cs="楷体"/>
          <w:b/>
          <w:bCs/>
          <w:kern w:val="0"/>
          <w:sz w:val="36"/>
          <w:szCs w:val="36"/>
        </w:rPr>
      </w:pPr>
    </w:p>
    <w:p w14:paraId="70454183">
      <w:pPr>
        <w:widowControl/>
        <w:jc w:val="center"/>
        <w:rPr>
          <w:rFonts w:hint="eastAsia" w:ascii="黑体" w:hAnsi="黑体" w:eastAsia="黑体" w:cs="黑体"/>
          <w:b w:val="0"/>
          <w:bCs w:val="0"/>
          <w:kern w:val="0"/>
          <w:sz w:val="48"/>
          <w:szCs w:val="48"/>
          <w:u w:val="single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安化县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eastAsia="zh-CN"/>
        </w:rPr>
        <w:t>乐安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>镇人民政府</w:t>
      </w:r>
    </w:p>
    <w:p w14:paraId="364D5A88">
      <w:pPr>
        <w:jc w:val="center"/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年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月 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b w:val="0"/>
          <w:bCs w:val="0"/>
          <w:kern w:val="0"/>
          <w:sz w:val="36"/>
          <w:szCs w:val="36"/>
        </w:rPr>
        <w:t xml:space="preserve"> 日</w:t>
      </w:r>
    </w:p>
    <w:p w14:paraId="718667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仿宋"/>
          <w:kern w:val="0"/>
          <w:sz w:val="32"/>
          <w:szCs w:val="32"/>
        </w:rPr>
        <w:br w:type="page"/>
      </w:r>
    </w:p>
    <w:p w14:paraId="73BD32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val="en-US" w:eastAsia="zh-CN"/>
        </w:rPr>
        <w:t>2025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年度</w:t>
      </w: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  <w:lang w:eastAsia="zh-CN"/>
        </w:rPr>
        <w:t>安化县乐安镇人民政府</w:t>
      </w:r>
    </w:p>
    <w:p w14:paraId="25A9E6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576" w:lineRule="exact"/>
        <w:jc w:val="center"/>
        <w:textAlignment w:val="auto"/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</w:pPr>
      <w:r>
        <w:rPr>
          <w:rFonts w:hint="eastAsia" w:ascii="微软雅黑" w:hAnsi="仿宋" w:eastAsia="微软雅黑" w:cs="宋体"/>
          <w:b w:val="0"/>
          <w:bCs/>
          <w:kern w:val="0"/>
          <w:sz w:val="44"/>
          <w:szCs w:val="44"/>
        </w:rPr>
        <w:t>整体支出绩效自评报告</w:t>
      </w:r>
    </w:p>
    <w:p w14:paraId="206A6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一、部门(单位)基本情况</w:t>
      </w:r>
    </w:p>
    <w:p w14:paraId="20C11F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eastAsia="zh-CN"/>
        </w:rPr>
        <w:t>2025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年度重点工作</w:t>
      </w:r>
    </w:p>
    <w:p w14:paraId="592600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落实国家政策，严格依法行政，发挥经济管理职能，加强政策引导，制定发展规划，服务市场主体和营造发展环境，搞好市场监管，大力促进社会事业发展，发展镇村经济、文化和社会事业，提供公共服务，维护社会稳定，构建社会主义和谐社会。</w:t>
      </w:r>
    </w:p>
    <w:p w14:paraId="6C9141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1、执行本级人民代表大会的决议和上级国家行政机关的决定和命令，发布决定和命令；</w:t>
      </w:r>
    </w:p>
    <w:p w14:paraId="4249DE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2、执行本行政区域内的经济和社会发展计划、预算，管理本行政区域内的经济、教育、科学、文化、卫生、体育事业和财政、民政、公安、司法行政、计划生育等行政工作；</w:t>
      </w:r>
    </w:p>
    <w:p w14:paraId="7664DC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3、保护社会主义的全民所有的财产和劳动群众集体所有的财产，保护公民私人所有的合法财产，维护社会秩序，保障公民的人身权利、民主权利和其他权利；</w:t>
      </w:r>
    </w:p>
    <w:p w14:paraId="5DC814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4、保护各种经济组织的合法权益；</w:t>
      </w:r>
    </w:p>
    <w:p w14:paraId="7CA680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5、保障少数民族的权利和尊重少数民族的风俗习惯；</w:t>
      </w:r>
    </w:p>
    <w:p w14:paraId="20CFCF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6、办理上级人民政府交办的其他事项。</w:t>
      </w:r>
    </w:p>
    <w:p w14:paraId="0AB67C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(二)部门整体支出规模、使用方向、主要内容和涉及范围</w:t>
      </w:r>
    </w:p>
    <w:p w14:paraId="03817F08">
      <w:pPr>
        <w:pStyle w:val="6"/>
        <w:shd w:val="clear" w:color="auto" w:fill="FFFFFF"/>
        <w:spacing w:before="0" w:beforeAutospacing="0" w:after="0" w:afterAutospacing="0" w:line="594" w:lineRule="exact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2025年度整体支出总额2502.06万元，其中财政拨款收入2492.06万元，占总收入的99.6%，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政府性基金支出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  <w:lang w:val="en-US" w:eastAsia="zh-CN"/>
        </w:rPr>
        <w:t>10万元，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占总收入的0.4%。主要内容和涉及范围：人员经费包括基本工资、津贴补贴、奖金、其他社会保障缴费、退休费生活补助、住房公积金等；日常公用经费包括办公费、差旅费、培训费、公务接待费、劳务费、工会经费、福利费、公务用车运行维护费、其他交通费用、其他商品和服务支出等；项目支出主要包括其他对个人和家庭的补助支出、办公费、印刷费、邮电费、差旅费、维修（护）费、会议费、培训费、公务接待费、劳务费、委托业务费、公务用车运行维护费、其他交通费、其他商品和服务支出、办公设备购置。涉及人员经费、保障基本运转、开展各项专项业务工作、精准扶贫、党建所发生的全部支出。</w:t>
      </w:r>
    </w:p>
    <w:p w14:paraId="68067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二、一般公共预算支出情况</w:t>
      </w:r>
    </w:p>
    <w:p w14:paraId="75D3A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(一)基本支出情况</w:t>
      </w:r>
    </w:p>
    <w:p w14:paraId="33DBFE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基本支出1768.01万元，是为保障各部门正常运转、完成日常工作任务而发生的各项支出，主要包括工资福利支出1291.43万元，商品和服务支出335.71万元，对个人和家庭支出139.57万元，资本性支出1.3万元。</w:t>
      </w:r>
    </w:p>
    <w:p w14:paraId="7685E5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“三公”经费支出情况：2025年，“三公”经费完成4.12万元，比上年减少19.88万元，减少比例为82.83%，主要原因是：厉行节约严控公用经费</w:t>
      </w:r>
      <w:r>
        <w:rPr>
          <w:rFonts w:hint="eastAsia" w:ascii="仿宋" w:hAnsi="仿宋" w:eastAsia="仿宋"/>
          <w:sz w:val="32"/>
          <w:szCs w:val="24"/>
        </w:rPr>
        <w:t>，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严格执行</w:t>
      </w:r>
      <w:r>
        <w:rPr>
          <w:rFonts w:hint="eastAsia" w:ascii="仿宋" w:hAnsi="仿宋" w:eastAsia="仿宋"/>
          <w:sz w:val="32"/>
          <w:szCs w:val="24"/>
        </w:rPr>
        <w:t>公务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零</w:t>
      </w:r>
      <w:r>
        <w:rPr>
          <w:rFonts w:hint="eastAsia" w:ascii="仿宋" w:hAnsi="仿宋" w:eastAsia="仿宋"/>
          <w:sz w:val="32"/>
          <w:szCs w:val="24"/>
        </w:rPr>
        <w:t>接待，</w:t>
      </w:r>
      <w:r>
        <w:rPr>
          <w:rFonts w:hint="eastAsia" w:ascii="仿宋" w:hAnsi="仿宋" w:eastAsia="仿宋"/>
          <w:sz w:val="32"/>
          <w:szCs w:val="24"/>
          <w:lang w:eastAsia="zh-CN"/>
        </w:rPr>
        <w:t>无公车购置费，</w:t>
      </w:r>
      <w:r>
        <w:rPr>
          <w:rFonts w:hint="eastAsia" w:ascii="仿宋" w:hAnsi="仿宋" w:eastAsia="仿宋"/>
          <w:sz w:val="32"/>
          <w:szCs w:val="24"/>
        </w:rPr>
        <w:t>按照预算指标数列支公务用车运行维护费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。其中，公务接待费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完成0万元，比上年减少19万元，减少比例为100%；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公务用车购置及运行维护费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完成4.12万元，比上年减少0.88万元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zh-CN" w:eastAsia="zh-CN" w:bidi="ar-SA"/>
        </w:rPr>
        <w:t>。</w:t>
      </w:r>
    </w:p>
    <w:p w14:paraId="2D3F4A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(二)项目支出情况</w:t>
      </w:r>
    </w:p>
    <w:p w14:paraId="491458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/>
          <w:lang w:val="en-US"/>
        </w:rPr>
      </w:pP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项目支出734.05万元，主要包含：</w:t>
      </w:r>
      <w:r>
        <w:rPr>
          <w:rFonts w:hint="eastAsia" w:ascii="仿宋_GB2312" w:eastAsia="仿宋_GB2312"/>
          <w:sz w:val="32"/>
          <w:szCs w:val="32"/>
          <w:lang w:eastAsia="zh-CN"/>
        </w:rPr>
        <w:t>业务工作</w:t>
      </w:r>
      <w:r>
        <w:rPr>
          <w:rFonts w:hint="eastAsia" w:ascii="仿宋_GB2312" w:eastAsia="仿宋_GB2312"/>
          <w:sz w:val="32"/>
          <w:szCs w:val="32"/>
        </w:rPr>
        <w:t>经费</w:t>
      </w:r>
      <w:r>
        <w:rPr>
          <w:rFonts w:hint="eastAsia" w:ascii="仿宋_GB2312" w:eastAsia="仿宋_GB2312"/>
          <w:sz w:val="32"/>
          <w:szCs w:val="32"/>
          <w:lang w:eastAsia="zh-CN"/>
        </w:rPr>
        <w:t>以及运行维护经费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。</w:t>
      </w:r>
    </w:p>
    <w:p w14:paraId="75EC802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政府性基金预算支出情况</w:t>
      </w:r>
    </w:p>
    <w:p w14:paraId="70D39C70">
      <w:pPr>
        <w:ind w:firstLine="640" w:firstLineChars="200"/>
        <w:rPr>
          <w:rFonts w:hint="default" w:eastAsia="仿宋_GB2312"/>
          <w:lang w:val="en-US" w:eastAsia="zh-CN"/>
        </w:rPr>
      </w:pPr>
      <w:r>
        <w:rPr>
          <w:rFonts w:hint="eastAsia" w:eastAsia="仿宋_GB2312"/>
          <w:color w:val="232323"/>
          <w:sz w:val="32"/>
          <w:szCs w:val="32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年本部门政府性基金支出预算</w:t>
      </w:r>
      <w:r>
        <w:rPr>
          <w:rFonts w:hint="eastAsia" w:eastAsia="仿宋_GB2312"/>
          <w:color w:val="232323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仿宋_GB2312" w:eastAsia="仿宋_GB2312" w:cs="仿宋_GB2312"/>
          <w:color w:val="232323"/>
          <w:sz w:val="32"/>
          <w:szCs w:val="32"/>
          <w:shd w:val="clear" w:color="auto" w:fill="FFFFFF"/>
        </w:rPr>
        <w:t>万元</w:t>
      </w:r>
      <w:r>
        <w:rPr>
          <w:rFonts w:hint="eastAsia" w:ascii="仿宋_GB2312" w:hAnsi="宋体" w:eastAsia="仿宋_GB2312" w:cs="仿宋_GB2312"/>
          <w:color w:val="232323"/>
          <w:sz w:val="32"/>
          <w:szCs w:val="32"/>
          <w:shd w:val="clear" w:color="auto" w:fill="FFFFFF"/>
          <w:lang w:val="en-US" w:eastAsia="zh-CN"/>
        </w:rPr>
        <w:t>。</w:t>
      </w:r>
    </w:p>
    <w:p w14:paraId="4146400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国有资本经营预算支出情况</w:t>
      </w:r>
    </w:p>
    <w:p w14:paraId="2231DFB3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本部门无国有资本经营预算的支出。</w:t>
      </w:r>
    </w:p>
    <w:p w14:paraId="4675B08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社会保险基金预算支出情况</w:t>
      </w:r>
    </w:p>
    <w:p w14:paraId="4D3BC260">
      <w:pPr>
        <w:pStyle w:val="7"/>
        <w:ind w:left="420" w:leftChars="200" w:firstLine="0" w:firstLineChars="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232323"/>
          <w:shd w:val="clear" w:color="auto" w:fill="FFFFFF"/>
          <w:lang w:eastAsia="zh-CN"/>
        </w:rPr>
        <w:t>2025</w:t>
      </w:r>
      <w:r>
        <w:rPr>
          <w:rFonts w:hint="eastAsia" w:ascii="仿宋_GB2312" w:eastAsia="仿宋_GB2312" w:cs="仿宋_GB2312"/>
          <w:color w:val="232323"/>
          <w:shd w:val="clear" w:color="auto" w:fill="FFFFFF"/>
        </w:rPr>
        <w:t>年</w:t>
      </w:r>
      <w:r>
        <w:rPr>
          <w:rFonts w:hint="eastAsia" w:ascii="仿宋_GB2312" w:hAnsi="宋体" w:eastAsia="仿宋_GB2312" w:cs="仿宋_GB2312"/>
          <w:color w:val="232323"/>
          <w:shd w:val="clear" w:color="auto" w:fill="FFFFFF"/>
        </w:rPr>
        <w:t>本部门无社会保险基金预算的支出。</w:t>
      </w:r>
    </w:p>
    <w:p w14:paraId="3CE7E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六、部门整体支出绩效情况</w:t>
      </w:r>
    </w:p>
    <w:p w14:paraId="38786B0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2025年度支出总额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D3D3D"/>
          <w:spacing w:val="0"/>
          <w:sz w:val="32"/>
          <w:szCs w:val="32"/>
          <w:shd w:val="clear" w:color="auto" w:fill="FFFFFF"/>
          <w:lang w:val="en-US" w:eastAsia="zh-CN"/>
        </w:rPr>
        <w:t>2502.06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万元，其中基本支出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1768.01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万元，基本支出保障了单位正常运转的日常支出，包括基本工资、津贴补贴等人员经费以及办公费、水电费、差旅费等日常公用经费；项目支出金额</w:t>
      </w:r>
      <w:r>
        <w:rPr>
          <w:rFonts w:hint="eastAsia" w:ascii="仿宋" w:hAnsi="仿宋" w:eastAsia="仿宋" w:cs="Times New Roman"/>
          <w:kern w:val="2"/>
          <w:sz w:val="32"/>
          <w:szCs w:val="24"/>
          <w:u w:val="none"/>
          <w:shd w:val="clear" w:color="auto" w:fill="auto"/>
          <w:lang w:val="en-US" w:eastAsia="zh-CN" w:bidi="ar-SA"/>
        </w:rPr>
        <w:t>734.05</w:t>
      </w: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万元，项目支出主要用于业务工作、运行维护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等支出，包括办公费、印刷费、邮电费、差旅费、租赁费、会议费、劳务费及其他对企业补助等。</w:t>
      </w:r>
    </w:p>
    <w:p w14:paraId="562B9C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七、存在的问题及原因分析</w:t>
      </w:r>
    </w:p>
    <w:p w14:paraId="1BECF04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1）预算绩效观念不深入。我镇在日常财务工作中存在着一定程度的“重分配、轻管理、重支出、轻绩效”的情况，造成该问题的主要原因是自身绩效理念较薄弱，单位绩效目标编制仍有缺失，需要进一步加强对资金绩效管理的重视程度</w:t>
      </w:r>
    </w:p>
    <w:p w14:paraId="5D43C6DB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2）预算绩效规范管理有盲点。在市财政逐步加强绩效管理的情况下，我镇财务人员面对当前绩效管理工作既没有现成的经验可供借鉴，又缺乏专业性很强的技能储备，只能是边工作、边学习、边积累，短期内部分工作只能停留在表面，难以做到程序规范、管理科学，难以满足当前绩效管理要求。</w:t>
      </w:r>
    </w:p>
    <w:p w14:paraId="217F7C80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下一步改进措施</w:t>
      </w:r>
    </w:p>
    <w:p w14:paraId="2908D74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1）进一步增强绩效管理理念。在管理和使用预算资金的过程中，我镇将更加突出资金使用绩效，做到“花钱必问效”。加强与财政绩效科的沟通协调，按照绩效评价原则，开展资金安全性、规范性的监督，确保专项资金的使用符合绩效管理要求。</w:t>
      </w:r>
    </w:p>
    <w:p w14:paraId="6831B2B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（2）进一步加强财务素养和专业技能培训。我镇希望县财政局相关科室，针对预算资金绩效管理和相关法律法规，对全县乡镇财务人员开展培训，学习预算绩效管理的法律法规、规范要求，让绩效理念深入人心、让绩效管理人员熟知政策、知行合一。</w:t>
      </w:r>
    </w:p>
    <w:p w14:paraId="0D282B0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0" w:firstLine="640" w:firstLineChars="200"/>
        <w:jc w:val="left"/>
        <w:textAlignment w:val="center"/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今后工作中，按照预算规定的项目和用途严格财务审计，经费支出严格按预算规定项目的财务支出内容进行财务预算，在预算金额内严控费用支出。推动建立过紧日子的长效机制。推进预算一体化系统建设，使预算管理水平更上台阶。</w:t>
      </w:r>
    </w:p>
    <w:p w14:paraId="1D8E193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绩效自评结果拟应用和公开情况</w:t>
      </w:r>
    </w:p>
    <w:p w14:paraId="3E0F4A5D">
      <w:pPr>
        <w:pStyle w:val="2"/>
        <w:numPr>
          <w:ilvl w:val="0"/>
          <w:numId w:val="0"/>
        </w:numPr>
        <w:ind w:leftChars="200"/>
        <w:rPr>
          <w:rFonts w:hint="eastAsia" w:eastAsia="宋体"/>
          <w:lang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暂未公开。</w:t>
      </w:r>
    </w:p>
    <w:p w14:paraId="5AFD5637">
      <w:pPr>
        <w:numPr>
          <w:ilvl w:val="0"/>
          <w:numId w:val="2"/>
        </w:numPr>
        <w:ind w:left="0" w:leftChars="0" w:firstLine="640" w:firstLineChars="200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其他需要说明的情况</w:t>
      </w:r>
    </w:p>
    <w:p w14:paraId="618679C7">
      <w:pPr>
        <w:numPr>
          <w:ilvl w:val="0"/>
          <w:numId w:val="0"/>
        </w:numPr>
        <w:ind w:leftChars="200"/>
      </w:pPr>
      <w:r>
        <w:rPr>
          <w:rFonts w:hint="eastAsia" w:eastAsia="仿宋_GB2312" w:cs="Times New Roman"/>
          <w:kern w:val="0"/>
          <w:sz w:val="32"/>
          <w:szCs w:val="32"/>
          <w:lang w:val="en-US" w:eastAsia="zh-CN" w:bidi="ar-SA"/>
        </w:rPr>
        <w:t>无。</w:t>
      </w:r>
      <w:r>
        <w:rPr>
          <w:rFonts w:eastAsia="Times New Roman"/>
          <w:kern w:val="0"/>
          <w:sz w:val="2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F4109C"/>
    <w:multiLevelType w:val="singleLevel"/>
    <w:tmpl w:val="0DF410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4048D7"/>
    <w:multiLevelType w:val="singleLevel"/>
    <w:tmpl w:val="7F4048D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4YmQ5Y2MzMGVhMDY4NDkwNTBhM2FiMTI1OTFmZTEifQ=="/>
  </w:docVars>
  <w:rsids>
    <w:rsidRoot w:val="6D445020"/>
    <w:rsid w:val="14FF1319"/>
    <w:rsid w:val="1DF64A00"/>
    <w:rsid w:val="257D691C"/>
    <w:rsid w:val="2CF92AD5"/>
    <w:rsid w:val="33357B76"/>
    <w:rsid w:val="3D064178"/>
    <w:rsid w:val="400652A5"/>
    <w:rsid w:val="53246BC3"/>
    <w:rsid w:val="64B56C4A"/>
    <w:rsid w:val="6D445020"/>
    <w:rsid w:val="720A579D"/>
    <w:rsid w:val="7B9B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Times New Roman" w:hAnsi="Times New Roman"/>
    </w:rPr>
  </w:style>
  <w:style w:type="paragraph" w:styleId="3">
    <w:name w:val="Body Text Indent"/>
    <w:basedOn w:val="1"/>
    <w:qFormat/>
    <w:uiPriority w:val="99"/>
    <w:pPr>
      <w:ind w:firstLine="640" w:firstLineChars="200"/>
    </w:pPr>
    <w:rPr>
      <w:sz w:val="32"/>
      <w:szCs w:val="32"/>
    </w:rPr>
  </w:style>
  <w:style w:type="paragraph" w:styleId="4">
    <w:name w:val="toc 5"/>
    <w:basedOn w:val="1"/>
    <w:next w:val="1"/>
    <w:unhideWhenUsed/>
    <w:qFormat/>
    <w:uiPriority w:val="39"/>
    <w:pPr>
      <w:ind w:left="1680" w:leftChars="800"/>
    </w:pPr>
    <w:rPr>
      <w:rFonts w:ascii="等线" w:hAnsi="等线" w:eastAsia="等线" w:cs="Times New Roman"/>
      <w:szCs w:val="22"/>
    </w:rPr>
  </w:style>
  <w:style w:type="paragraph" w:styleId="5">
    <w:name w:val="toc 1"/>
    <w:basedOn w:val="1"/>
    <w:next w:val="1"/>
    <w:unhideWhenUsed/>
    <w:qFormat/>
    <w:uiPriority w:val="99"/>
    <w:pPr>
      <w:spacing w:beforeLines="0" w:afterLines="0"/>
    </w:pPr>
    <w:rPr>
      <w:rFonts w:hint="default"/>
      <w:sz w:val="21"/>
      <w:szCs w:val="24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Body Text First Indent 2"/>
    <w:basedOn w:val="3"/>
    <w:qFormat/>
    <w:uiPriority w:val="99"/>
    <w:pPr>
      <w:ind w:firstLine="420"/>
    </w:pPr>
  </w:style>
  <w:style w:type="character" w:styleId="10">
    <w:name w:val="Strong"/>
    <w:basedOn w:val="9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1932</Words>
  <Characters>2050</Characters>
  <Lines>0</Lines>
  <Paragraphs>0</Paragraphs>
  <TotalTime>8</TotalTime>
  <ScaleCrop>false</ScaleCrop>
  <LinksUpToDate>false</LinksUpToDate>
  <CharactersWithSpaces>2054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2024-06-17T10:01:00Z</dcterms:created>
  <dc:creator>啊斌</dc:creator>
  <cp:lastModifiedBy>啦啦啦啦</cp:lastModifiedBy>
  <dcterms:modified xsi:type="dcterms:W3CDTF">2026-05-07T12:12:40Z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3E62744EEC4243C3B38E17C4F9F4F14E_13</vt:lpwstr>
  </property>
  <property fmtid="{D5CDD505-2E9C-101B-9397-08002B2CF9AE}" pid="4" name="KSOTemplateDocerSaveRecord">
    <vt:lpwstr>eyJoZGlkIjoiNzVlOTUwMTUyYWZmYzljZGMxNjNhMmEzMDhjNDUyNjciLCJ1c2VySWQiOiIyMDUwMzE0MDYifQ==</vt:lpwstr>
  </property>
</Properties>
</file>