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7347A9DD">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2025年度安化县滔溪镇人民政府</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5"/>
      </w:pPr>
    </w:p>
    <w:p w14:paraId="311F1E4D">
      <w:pPr>
        <w:widowControl/>
        <w:ind w:firstLine="361" w:firstLineChars="100"/>
        <w:rPr>
          <w:rFonts w:hint="eastAsia" w:ascii="楷体" w:hAnsi="楷体" w:eastAsia="楷体" w:cs="楷体"/>
          <w:b/>
          <w:bCs/>
          <w:kern w:val="0"/>
          <w:sz w:val="36"/>
          <w:szCs w:val="36"/>
        </w:rPr>
      </w:pPr>
    </w:p>
    <w:p w14:paraId="70454183">
      <w:pPr>
        <w:widowControl/>
        <w:jc w:val="center"/>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安化县</w:t>
      </w:r>
      <w:r>
        <w:rPr>
          <w:rFonts w:hint="eastAsia" w:ascii="黑体" w:hAnsi="黑体" w:eastAsia="黑体" w:cs="黑体"/>
          <w:b w:val="0"/>
          <w:bCs w:val="0"/>
          <w:kern w:val="0"/>
          <w:sz w:val="36"/>
          <w:szCs w:val="36"/>
          <w:lang w:eastAsia="zh-CN"/>
        </w:rPr>
        <w:t>滔溪镇</w:t>
      </w:r>
      <w:r>
        <w:rPr>
          <w:rFonts w:hint="eastAsia" w:ascii="黑体" w:hAnsi="黑体" w:eastAsia="黑体" w:cs="黑体"/>
          <w:b w:val="0"/>
          <w:bCs w:val="0"/>
          <w:kern w:val="0"/>
          <w:sz w:val="36"/>
          <w:szCs w:val="36"/>
        </w:rPr>
        <w:t>人民政府</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7</w:t>
      </w:r>
      <w:r>
        <w:rPr>
          <w:rFonts w:hint="eastAsia" w:ascii="黑体" w:hAnsi="黑体" w:eastAsia="黑体" w:cs="黑体"/>
          <w:b w:val="0"/>
          <w:bCs w:val="0"/>
          <w:kern w:val="0"/>
          <w:sz w:val="36"/>
          <w:szCs w:val="36"/>
        </w:rPr>
        <w:t xml:space="preserve"> 日</w:t>
      </w:r>
    </w:p>
    <w:p w14:paraId="7186672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黑体" w:hAnsi="黑体" w:eastAsia="黑体" w:cs="仿宋"/>
          <w:kern w:val="0"/>
          <w:sz w:val="32"/>
          <w:szCs w:val="32"/>
        </w:rPr>
        <w:br w:type="page"/>
      </w:r>
    </w:p>
    <w:p w14:paraId="73BD322B">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eastAsia="zh-CN"/>
        </w:rPr>
      </w:pPr>
      <w:bookmarkStart w:id="0" w:name="_GoBack"/>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安化县滔溪镇人民政府</w:t>
      </w: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整体支出绩效自评报告</w:t>
      </w:r>
    </w:p>
    <w:bookmarkEnd w:id="0"/>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5926002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落实国家政策，严格依法行政，发挥经济管理职能，加强政策引导，制定发展规划，服务市场主体和营造发展环境，搞好市场监管，大力促进社会事业发展，发展镇村经济、文化和社会事业，提供公共服务，维护社会稳定，构建社会主义和谐社会。</w:t>
      </w:r>
    </w:p>
    <w:p w14:paraId="6C91412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1、执行本级人民代表大会的决议和上级国家行政机关的决定和命令，发布决定和命令；</w:t>
      </w:r>
    </w:p>
    <w:p w14:paraId="4249DE4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2、执行本行政区域内的经济和社会发展计划、预算，管理本行政区域内的经济、教育、科学、文化、卫生、体育事业和财政、民政、公安、司法行政、计划生育等行政工作；</w:t>
      </w:r>
    </w:p>
    <w:p w14:paraId="7664DCC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3、保护社会主义的全民所有的财产和劳动群众集体所有的财产，保护公民私人所有的合法财产，维护社会秩序，保障公民的人身权利、民主权利和其他权利；</w:t>
      </w:r>
    </w:p>
    <w:p w14:paraId="5DC8145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4、保护各种经济组织的合法权益；</w:t>
      </w:r>
    </w:p>
    <w:p w14:paraId="7CA680DF">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5、保障少数民族的权利和尊重少数民族的风俗习惯；</w:t>
      </w:r>
    </w:p>
    <w:p w14:paraId="20CFCF8F">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6、办理上级人民政府交办的其他事项。</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03817F08">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2025年度整体支出总额1776.55万元，其中财政拨款收入1771.55万元，占总收入的99.9%，</w:t>
      </w:r>
      <w:r>
        <w:rPr>
          <w:rFonts w:hint="eastAsia" w:ascii="仿宋_GB2312" w:eastAsia="仿宋_GB2312" w:cs="仿宋_GB2312"/>
          <w:color w:val="232323"/>
          <w:sz w:val="32"/>
          <w:szCs w:val="32"/>
          <w:shd w:val="clear" w:color="auto" w:fill="FFFFFF"/>
        </w:rPr>
        <w:t>政府性基金支出</w:t>
      </w:r>
      <w:r>
        <w:rPr>
          <w:rFonts w:hint="eastAsia" w:ascii="仿宋_GB2312" w:eastAsia="仿宋_GB2312" w:cs="仿宋_GB2312"/>
          <w:color w:val="232323"/>
          <w:sz w:val="32"/>
          <w:szCs w:val="32"/>
          <w:shd w:val="clear" w:color="auto" w:fill="FFFFFF"/>
          <w:lang w:val="en-US" w:eastAsia="zh-CN"/>
        </w:rPr>
        <w:t>5万元，</w:t>
      </w:r>
      <w:r>
        <w:rPr>
          <w:rFonts w:hint="eastAsia" w:ascii="仿宋" w:hAnsi="仿宋" w:eastAsia="仿宋" w:cs="仿宋"/>
          <w:b w:val="0"/>
          <w:bCs w:val="0"/>
          <w:i w:val="0"/>
          <w:iCs w:val="0"/>
          <w:caps w:val="0"/>
          <w:color w:val="3D3D3D"/>
          <w:spacing w:val="0"/>
          <w:sz w:val="32"/>
          <w:szCs w:val="32"/>
          <w:shd w:val="clear" w:color="auto" w:fill="FFFFFF"/>
          <w:lang w:val="en-US" w:eastAsia="zh-CN"/>
        </w:rPr>
        <w:t>占总收入的0.1%。主要内容和涉及范围：人员经费包括基本工资、津贴补贴、奖金、其他社会保障缴费、退休费生活补助、住房公积金等；日常公用经费包括办公费、差旅费、培训费、公务接待费、劳务费、工会经费、福利费、公务用车运行维护费、其他交通费用、其他商品和服务支出等；项目支出主要包括其他对个人和家庭的补助支出、办公费、印刷费、邮电费、差旅费、维修（护）费、会议费、培训费、公务接待费、劳务费、委托业务费、公务用车运行维护费、其他交通费、其他商品和服务支出、办公设备购置。涉及人员经费、保障基本运转、开展各项专项业务工作、精准扶贫、党建所发生的全部支出。</w:t>
      </w:r>
    </w:p>
    <w:p w14:paraId="3777EEBD">
      <w:pPr>
        <w:pStyle w:val="6"/>
        <w:shd w:val="clear" w:color="auto" w:fill="FFFFFF"/>
        <w:spacing w:before="0" w:beforeAutospacing="0" w:after="0" w:afterAutospacing="0" w:line="594" w:lineRule="exact"/>
        <w:ind w:firstLine="640" w:firstLineChars="200"/>
        <w:jc w:val="both"/>
        <w:rPr>
          <w:rFonts w:hint="eastAsia" w:ascii="仿宋" w:hAnsi="仿宋" w:eastAsia="仿宋" w:cs="仿宋"/>
          <w:b w:val="0"/>
          <w:bCs w:val="0"/>
          <w:i w:val="0"/>
          <w:iCs w:val="0"/>
          <w:caps w:val="0"/>
          <w:color w:val="3D3D3D"/>
          <w:spacing w:val="0"/>
          <w:sz w:val="32"/>
          <w:szCs w:val="32"/>
          <w:shd w:val="clear" w:color="auto" w:fill="FFFFFF"/>
          <w:lang w:val="en-US" w:eastAsia="zh-CN"/>
        </w:rPr>
      </w:pPr>
      <w:r>
        <w:rPr>
          <w:rFonts w:hint="eastAsia" w:ascii="仿宋" w:hAnsi="仿宋" w:eastAsia="仿宋" w:cs="仿宋"/>
          <w:b w:val="0"/>
          <w:bCs w:val="0"/>
          <w:i w:val="0"/>
          <w:iCs w:val="0"/>
          <w:caps w:val="0"/>
          <w:color w:val="3D3D3D"/>
          <w:spacing w:val="0"/>
          <w:sz w:val="32"/>
          <w:szCs w:val="32"/>
          <w:shd w:val="clear" w:color="auto" w:fill="FFFFFF"/>
          <w:lang w:val="en-US" w:eastAsia="zh-CN"/>
        </w:rPr>
        <w:t>所有支出严格按照规定范围使用，其中人员经费主要用于保障单位在职人员和离退休人员的各项待遇落实，确保干部职工权益得到保障；日常公用经费主要用于维持镇政府机关日常运转，保障各项常规行政工作正常开展；项目支出主要用于落实上级交办的专项工作任务，支撑镇村公共服务设施建设、民生保障、乡村发展等重点工作推进，所有资金使用均符合我镇经济社会发展规划和年度工作部署，全部用于我镇行政区域内各项公共管理与公共服务事务。</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1059.51万元，是为保障各部门正常运转、完成日常工作任务而发生的各项支出，主要包括工资福利支出917.59万元，商品和服务支出114.82万元，对个人和家庭支出27.1万元，资本性支出0万元，具体构成为：工资福利支出包含在职人员基本工资、津贴补贴、绩效奖金、各类社会保险缴费等，足额落实了机关干部职工的薪酬待遇；商品和服务支出主要用于保障机关日常办公需求，涵盖办公耗材采购、会议会务开展、公务出行差旅、公务用车日常运维、日常场地设施维修维护等日常运转事项；对个人和家庭补助支出主要用于发放离退休人员相关生活补贴、遗属补助等相关待遇，保障相关人员权益，基本支出严格按照部门预算定额标准执行，预算安排与实际支出匹配度较高，有效保障了镇政府日常职能的正常履行。。</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“三公”经费支出情况：2025年，“三公”经费完成4万元，比上年减少18.05万元，减少比例为81.93%，主要原因是：厉行节约严控公用经费</w:t>
      </w:r>
      <w:r>
        <w:rPr>
          <w:rFonts w:hint="eastAsia" w:ascii="仿宋" w:hAnsi="仿宋" w:eastAsia="仿宋"/>
          <w:sz w:val="32"/>
          <w:szCs w:val="24"/>
        </w:rPr>
        <w:t>，</w:t>
      </w:r>
      <w:r>
        <w:rPr>
          <w:rFonts w:hint="eastAsia" w:ascii="仿宋" w:hAnsi="仿宋" w:eastAsia="仿宋"/>
          <w:sz w:val="32"/>
          <w:szCs w:val="24"/>
          <w:lang w:val="en-US" w:eastAsia="zh-CN"/>
        </w:rPr>
        <w:t>严格执行</w:t>
      </w:r>
      <w:r>
        <w:rPr>
          <w:rFonts w:hint="eastAsia" w:ascii="仿宋" w:hAnsi="仿宋" w:eastAsia="仿宋"/>
          <w:sz w:val="32"/>
          <w:szCs w:val="24"/>
        </w:rPr>
        <w:t>公务</w:t>
      </w:r>
      <w:r>
        <w:rPr>
          <w:rFonts w:hint="eastAsia" w:ascii="仿宋" w:hAnsi="仿宋" w:eastAsia="仿宋"/>
          <w:sz w:val="32"/>
          <w:szCs w:val="24"/>
          <w:lang w:val="en-US" w:eastAsia="zh-CN"/>
        </w:rPr>
        <w:t>零</w:t>
      </w:r>
      <w:r>
        <w:rPr>
          <w:rFonts w:hint="eastAsia" w:ascii="仿宋" w:hAnsi="仿宋" w:eastAsia="仿宋"/>
          <w:sz w:val="32"/>
          <w:szCs w:val="24"/>
        </w:rPr>
        <w:t>接待，</w:t>
      </w:r>
      <w:r>
        <w:rPr>
          <w:rFonts w:hint="eastAsia" w:ascii="仿宋" w:hAnsi="仿宋" w:eastAsia="仿宋"/>
          <w:sz w:val="32"/>
          <w:szCs w:val="24"/>
          <w:lang w:eastAsia="zh-CN"/>
        </w:rPr>
        <w:t>无公车购置费，</w:t>
      </w:r>
      <w:r>
        <w:rPr>
          <w:rFonts w:hint="eastAsia" w:ascii="仿宋" w:hAnsi="仿宋" w:eastAsia="仿宋"/>
          <w:sz w:val="32"/>
          <w:szCs w:val="24"/>
        </w:rPr>
        <w:t>按照预算指标数列支公务用车运行维护费</w:t>
      </w:r>
      <w:r>
        <w:rPr>
          <w:rFonts w:hint="eastAsia" w:ascii="仿宋" w:hAnsi="仿宋" w:eastAsia="仿宋" w:cs="Times New Roman"/>
          <w:kern w:val="2"/>
          <w:sz w:val="32"/>
          <w:szCs w:val="24"/>
          <w:u w:val="none"/>
          <w:shd w:val="clear" w:color="auto" w:fill="auto"/>
          <w:lang w:val="zh-CN" w:eastAsia="zh-CN" w:bidi="ar-SA"/>
        </w:rPr>
        <w:t>。其中，公务接待费</w:t>
      </w:r>
      <w:r>
        <w:rPr>
          <w:rFonts w:hint="eastAsia" w:ascii="仿宋" w:hAnsi="仿宋" w:eastAsia="仿宋" w:cs="Times New Roman"/>
          <w:kern w:val="2"/>
          <w:sz w:val="32"/>
          <w:szCs w:val="24"/>
          <w:u w:val="none"/>
          <w:shd w:val="clear" w:color="auto" w:fill="auto"/>
          <w:lang w:val="en-US" w:eastAsia="zh-CN" w:bidi="ar-SA"/>
        </w:rPr>
        <w:t>完成0万元，比上年减少18.05万元，减少比例为100%；</w:t>
      </w:r>
      <w:r>
        <w:rPr>
          <w:rFonts w:hint="eastAsia" w:ascii="仿宋" w:hAnsi="仿宋" w:eastAsia="仿宋" w:cs="Times New Roman"/>
          <w:kern w:val="2"/>
          <w:sz w:val="32"/>
          <w:szCs w:val="24"/>
          <w:u w:val="none"/>
          <w:shd w:val="clear" w:color="auto" w:fill="auto"/>
          <w:lang w:val="zh-CN" w:eastAsia="zh-CN" w:bidi="ar-SA"/>
        </w:rPr>
        <w:t>公务用车购置及运行维护费</w:t>
      </w:r>
      <w:r>
        <w:rPr>
          <w:rFonts w:hint="eastAsia" w:ascii="仿宋" w:hAnsi="仿宋" w:eastAsia="仿宋" w:cs="Times New Roman"/>
          <w:kern w:val="2"/>
          <w:sz w:val="32"/>
          <w:szCs w:val="24"/>
          <w:u w:val="none"/>
          <w:shd w:val="clear" w:color="auto" w:fill="auto"/>
          <w:lang w:val="en-US" w:eastAsia="zh-CN" w:bidi="ar-SA"/>
        </w:rPr>
        <w:t>完成4万元，与上年持平，无因公出国（境）费用，本年因公出国（境）团组数、人次数均为0，与上年一致，未产生相关支出。“三公”经费总体控制在年度预算批复范围内，严格落实了过紧日子要求，经费使用合规，未超预算支出。</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914587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default"/>
          <w:lang w:val="en-US"/>
        </w:rPr>
      </w:pPr>
      <w:r>
        <w:rPr>
          <w:rFonts w:hint="eastAsia" w:ascii="仿宋" w:hAnsi="仿宋" w:eastAsia="仿宋" w:cs="Times New Roman"/>
          <w:kern w:val="2"/>
          <w:sz w:val="32"/>
          <w:szCs w:val="24"/>
          <w:u w:val="none"/>
          <w:shd w:val="clear" w:color="auto" w:fill="auto"/>
          <w:lang w:val="en-US" w:eastAsia="zh-CN" w:bidi="ar-SA"/>
        </w:rPr>
        <w:t>项目支出717.04万元，主要包含：一般公共预算安排的专项工作经费、村级运转补助、基础设施建设补助、民生保障补助、乡村振兴专项经费等，具体为商品和服务支出322.35万元，主要用于乡村道路日常养护、人居环境整治、村级政策宣传印刷、专项业务委托办理、各类重点工作会议培训、镇村公共设施日常维修维护等专项工作开展；对个人和家庭的补助支出188.69万元，主要用于发放公益性岗位补贴、监测对象帮扶补助、低保特困群体临时救助、优抚对象优待补助等民生保障类项目；资本性支出206万元，主要用于镇村便民服务设施改造、办公设备购置、村组道路新建硬化等公共基础设施建设类项目。所有项目支出均严格对应年初预算设定的用途使用，按照项目实施进度拨付资金，做到了专款专用，未出现截留、挤占、挪用项目资金的情况，保障了各专项工作按计划落地推进。</w:t>
      </w:r>
      <w:r>
        <w:rPr>
          <w:rFonts w:hint="eastAsia" w:ascii="仿宋_GB2312" w:eastAsia="仿宋_GB2312"/>
          <w:sz w:val="32"/>
          <w:szCs w:val="32"/>
          <w:lang w:eastAsia="zh-CN"/>
        </w:rPr>
        <w:t>业务工作</w:t>
      </w:r>
      <w:r>
        <w:rPr>
          <w:rFonts w:hint="eastAsia" w:ascii="仿宋_GB2312" w:eastAsia="仿宋_GB2312"/>
          <w:sz w:val="32"/>
          <w:szCs w:val="32"/>
        </w:rPr>
        <w:t>经费</w:t>
      </w:r>
      <w:r>
        <w:rPr>
          <w:rFonts w:hint="eastAsia" w:ascii="仿宋_GB2312" w:eastAsia="仿宋_GB2312"/>
          <w:sz w:val="32"/>
          <w:szCs w:val="32"/>
          <w:lang w:eastAsia="zh-CN"/>
        </w:rPr>
        <w:t>以及运行维护经费</w:t>
      </w:r>
      <w:r>
        <w:rPr>
          <w:rFonts w:hint="eastAsia" w:ascii="仿宋_GB2312" w:eastAsia="仿宋_GB2312"/>
          <w:sz w:val="32"/>
          <w:szCs w:val="32"/>
          <w:lang w:val="en-US" w:eastAsia="zh-CN"/>
        </w:rPr>
        <w:t>。</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default" w:eastAsia="仿宋_GB2312"/>
          <w:lang w:val="en-US" w:eastAsia="zh-CN"/>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5</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lang w:val="en-US" w:eastAsia="zh-CN"/>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38786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2025年度支出总额</w:t>
      </w:r>
      <w:r>
        <w:rPr>
          <w:rFonts w:hint="eastAsia" w:ascii="仿宋" w:hAnsi="仿宋" w:eastAsia="仿宋" w:cs="仿宋"/>
          <w:b w:val="0"/>
          <w:bCs w:val="0"/>
          <w:i w:val="0"/>
          <w:iCs w:val="0"/>
          <w:caps w:val="0"/>
          <w:color w:val="3D3D3D"/>
          <w:spacing w:val="0"/>
          <w:sz w:val="32"/>
          <w:szCs w:val="32"/>
          <w:shd w:val="clear" w:color="auto" w:fill="FFFFFF"/>
          <w:lang w:val="en-US" w:eastAsia="zh-CN"/>
        </w:rPr>
        <w:t>1776.55</w:t>
      </w:r>
      <w:r>
        <w:rPr>
          <w:rFonts w:hint="eastAsia" w:ascii="Times New Roman" w:hAnsi="Times New Roman" w:eastAsia="仿宋_GB2312" w:cs="Times New Roman"/>
          <w:bCs/>
          <w:color w:val="auto"/>
          <w:kern w:val="2"/>
          <w:sz w:val="32"/>
          <w:szCs w:val="32"/>
          <w:highlight w:val="none"/>
          <w:lang w:val="en-US" w:eastAsia="zh-CN" w:bidi="ar-SA"/>
        </w:rPr>
        <w:t>万元，其中基本支出</w:t>
      </w:r>
      <w:r>
        <w:rPr>
          <w:rFonts w:hint="eastAsia" w:ascii="仿宋" w:hAnsi="仿宋" w:eastAsia="仿宋" w:cs="Times New Roman"/>
          <w:kern w:val="2"/>
          <w:sz w:val="32"/>
          <w:szCs w:val="24"/>
          <w:u w:val="none"/>
          <w:shd w:val="clear" w:color="auto" w:fill="auto"/>
          <w:lang w:val="en-US" w:eastAsia="zh-CN" w:bidi="ar-SA"/>
        </w:rPr>
        <w:t>1059.51</w:t>
      </w:r>
      <w:r>
        <w:rPr>
          <w:rFonts w:hint="eastAsia" w:ascii="Times New Roman" w:hAnsi="Times New Roman" w:eastAsia="仿宋_GB2312" w:cs="Times New Roman"/>
          <w:bCs/>
          <w:color w:val="auto"/>
          <w:kern w:val="2"/>
          <w:sz w:val="32"/>
          <w:szCs w:val="32"/>
          <w:highlight w:val="none"/>
          <w:lang w:val="en-US" w:eastAsia="zh-CN" w:bidi="ar-SA"/>
        </w:rPr>
        <w:t>万元，基本支出保障了单位正常运转的日常支出，包括基本工资、津贴补贴等人员经费以及办公费、水电费、差旅费等日常公用经费；项目支出金额</w:t>
      </w:r>
      <w:r>
        <w:rPr>
          <w:rFonts w:hint="eastAsia" w:ascii="仿宋" w:hAnsi="仿宋" w:eastAsia="仿宋" w:cs="Times New Roman"/>
          <w:kern w:val="2"/>
          <w:sz w:val="32"/>
          <w:szCs w:val="24"/>
          <w:u w:val="none"/>
          <w:shd w:val="clear" w:color="auto" w:fill="auto"/>
          <w:lang w:val="en-US" w:eastAsia="zh-CN" w:bidi="ar-SA"/>
        </w:rPr>
        <w:t>717.04</w:t>
      </w:r>
      <w:r>
        <w:rPr>
          <w:rFonts w:hint="eastAsia" w:ascii="Times New Roman" w:hAnsi="Times New Roman" w:eastAsia="仿宋_GB2312" w:cs="Times New Roman"/>
          <w:bCs/>
          <w:color w:val="auto"/>
          <w:kern w:val="2"/>
          <w:sz w:val="32"/>
          <w:szCs w:val="32"/>
          <w:highlight w:val="none"/>
          <w:lang w:val="en-US" w:eastAsia="zh-CN" w:bidi="ar-SA"/>
        </w:rPr>
        <w:t>万元，项目支出主要用于业务工作、运行维护等支出，包括办公费、印刷费、邮电费、差旅费、租赁费、会议费、劳务费及其他对企业补助等。</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1BECF0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1）预算绩效观念不深入。我镇在日常财务工作中存在着一定程度的“重分配、轻管理、重支出、轻绩效”的情况，造成该问题的主要原因是自身绩效理念较薄弱，单位绩效目标编制仍有缺失，需要进一步加强对资金绩效管理的重视程度</w:t>
      </w:r>
    </w:p>
    <w:p w14:paraId="5D43C6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预算绩效规范管理有盲点。在市财政逐步加强绩效管理的情况下，我镇财务人员面对当前绩效管理工作既没有现成的经验可供借鉴，又缺乏专业性很强的技能储备，只能是边工作、边学习、边积累，短期内部分工作只能停留在表面，难以做到程序规范、管理科学，难以满足当前绩效管理要求。</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2908D74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1）进一步增强绩效管理理念。在管理和使用预算资金的过程中，我镇将更加突出资金使用绩效，做到“花钱必问效”。加强与财政绩效科的沟通协调，按照绩效评价原则，开展资金安全性、规范性的监督，确保专项资金的使用符合绩效管理要求。</w:t>
      </w:r>
    </w:p>
    <w:p w14:paraId="6831B2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2）进一步加强财务素养和专业技能培训。我镇希望县财政局相关科室，针对预算资金绩效管理和相关法律法规，对全县乡镇财务人员开展培训，学习预算绩效管理的法律法规、规范要求，让绩效理念深入人心、让绩效管理人员熟知政策、知行合一。</w:t>
      </w:r>
    </w:p>
    <w:p w14:paraId="0D282B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left"/>
        <w:textAlignment w:val="center"/>
        <w:rPr>
          <w:rFonts w:hint="eastAsia"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今后工作中，按照预算规定的项目和用途严格财务审计，经费支出严格按预算规定项目的财务支出内容进行财务预算，在预算金额内严控费用支出。推动建立过紧日子的长效机制。推进预算一体化系统建设，使预算管理水平更上台阶。</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绩效自评结果拟应用和公开情况</w:t>
      </w:r>
    </w:p>
    <w:p w14:paraId="3E0F4A5D">
      <w:pPr>
        <w:pStyle w:val="2"/>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r>
        <w:rPr>
          <w:rFonts w:eastAsia="Times New Roman"/>
          <w:kern w:val="0"/>
          <w:sz w:val="22"/>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14FF1319"/>
    <w:rsid w:val="1DF64A00"/>
    <w:rsid w:val="21315B3E"/>
    <w:rsid w:val="257D691C"/>
    <w:rsid w:val="2CF92AD5"/>
    <w:rsid w:val="33357B76"/>
    <w:rsid w:val="3D064178"/>
    <w:rsid w:val="400652A5"/>
    <w:rsid w:val="53246BC3"/>
    <w:rsid w:val="64B56C4A"/>
    <w:rsid w:val="6D445020"/>
    <w:rsid w:val="720A579D"/>
    <w:rsid w:val="7B9B7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Times New Roman" w:hAnsi="Times New Roman"/>
    </w:rPr>
  </w:style>
  <w:style w:type="paragraph" w:styleId="3">
    <w:name w:val="Body Text Indent"/>
    <w:basedOn w:val="1"/>
    <w:qFormat/>
    <w:uiPriority w:val="99"/>
    <w:pPr>
      <w:ind w:firstLine="640" w:firstLineChars="200"/>
    </w:pPr>
    <w:rPr>
      <w:sz w:val="32"/>
      <w:szCs w:val="32"/>
    </w:rPr>
  </w:style>
  <w:style w:type="paragraph" w:styleId="4">
    <w:name w:val="toc 5"/>
    <w:basedOn w:val="1"/>
    <w:next w:val="1"/>
    <w:unhideWhenUsed/>
    <w:qFormat/>
    <w:uiPriority w:val="39"/>
    <w:pPr>
      <w:ind w:left="1680" w:leftChars="800"/>
    </w:pPr>
    <w:rPr>
      <w:rFonts w:ascii="等线" w:hAnsi="等线" w:eastAsia="等线" w:cs="Times New Roman"/>
      <w:szCs w:val="22"/>
    </w:rPr>
  </w:style>
  <w:style w:type="paragraph" w:styleId="5">
    <w:name w:val="toc 1"/>
    <w:basedOn w:val="1"/>
    <w:next w:val="1"/>
    <w:unhideWhenUsed/>
    <w:qFormat/>
    <w:uiPriority w:val="99"/>
    <w:pPr>
      <w:spacing w:beforeLines="0" w:afterLines="0"/>
    </w:pPr>
    <w:rPr>
      <w:rFonts w:hint="default"/>
      <w:sz w:val="21"/>
      <w:szCs w:val="24"/>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qFormat/>
    <w:uiPriority w:val="99"/>
    <w:pPr>
      <w:ind w:firstLine="420"/>
    </w:pPr>
  </w:style>
  <w:style w:type="character" w:styleId="10">
    <w:name w:val="Strong"/>
    <w:basedOn w:val="9"/>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1929</Words>
  <Characters>2049</Characters>
  <Lines>0</Lines>
  <Paragraphs>0</Paragraphs>
  <TotalTime>17</TotalTime>
  <ScaleCrop>false</ScaleCrop>
  <LinksUpToDate>false</LinksUpToDate>
  <CharactersWithSpaces>2053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啦啦啦啦</cp:lastModifiedBy>
  <dcterms:modified xsi:type="dcterms:W3CDTF">2026-05-09T08:08:26Z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6B64F7C4674E4E2EA46976344E9D8FF0_13</vt:lpwstr>
  </property>
  <property fmtid="{D5CDD505-2E9C-101B-9397-08002B2CF9AE}" pid="4" name="KSOTemplateDocerSaveRecord">
    <vt:lpwstr>eyJoZGlkIjoiNThkMzM1Njg0YzczYTQ3Y2UxYjU0YzQ4MDYyNGI2MWIiLCJ1c2VySWQiOiIyMDUwMzE0MDYifQ==</vt:lpwstr>
  </property>
</Properties>
</file>