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ind w:left="319"/>
        <w:spacing w:before="97" w:line="224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9"/>
        </w:rPr>
        <w:t>附件4</w:t>
      </w:r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ind w:left="2954" w:right="1689" w:hanging="2270"/>
        <w:spacing w:before="169" w:line="250" w:lineRule="auto"/>
        <w:rPr>
          <w:rFonts w:ascii="SimHei" w:hAnsi="SimHei" w:eastAsia="SimHei" w:cs="SimHei"/>
          <w:sz w:val="52"/>
          <w:szCs w:val="52"/>
        </w:rPr>
      </w:pPr>
      <w:r>
        <w:rPr>
          <w:rFonts w:ascii="SimHei" w:hAnsi="SimHei" w:eastAsia="SimHei" w:cs="SimHei"/>
          <w:sz w:val="52"/>
          <w:szCs w:val="52"/>
          <w:spacing w:val="-25"/>
        </w:rPr>
        <w:t>2024年度柘溪镇人民政府整体支出</w:t>
      </w:r>
      <w:r>
        <w:rPr>
          <w:rFonts w:ascii="SimHei" w:hAnsi="SimHei" w:eastAsia="SimHei" w:cs="SimHei"/>
          <w:sz w:val="52"/>
          <w:szCs w:val="52"/>
          <w:spacing w:val="13"/>
        </w:rPr>
        <w:t xml:space="preserve"> </w:t>
      </w:r>
      <w:r>
        <w:rPr>
          <w:rFonts w:ascii="SimHei" w:hAnsi="SimHei" w:eastAsia="SimHei" w:cs="SimHei"/>
          <w:sz w:val="52"/>
          <w:szCs w:val="52"/>
          <w:spacing w:val="-44"/>
        </w:rPr>
        <w:t>绩效自评报告</w:t>
      </w:r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ind w:left="734"/>
        <w:spacing w:before="140" w:line="221" w:lineRule="auto"/>
        <w:rPr>
          <w:rFonts w:ascii="SimHei" w:hAnsi="SimHei" w:eastAsia="SimHei" w:cs="SimHei"/>
          <w:sz w:val="43"/>
          <w:szCs w:val="43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1749405</wp:posOffset>
            </wp:positionH>
            <wp:positionV relativeFrom="paragraph">
              <wp:posOffset>-580298</wp:posOffset>
            </wp:positionV>
            <wp:extent cx="1384350" cy="1428851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84350" cy="1428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43"/>
          <w:szCs w:val="43"/>
          <w:spacing w:val="-54"/>
        </w:rPr>
        <w:t>申报单位(盖章):</w:t>
      </w:r>
      <w:r>
        <w:rPr>
          <w:rFonts w:ascii="SimHei" w:hAnsi="SimHei" w:eastAsia="SimHei" w:cs="SimHei"/>
          <w:sz w:val="43"/>
          <w:szCs w:val="43"/>
          <w:spacing w:val="6"/>
        </w:rPr>
        <w:t xml:space="preserve"> </w:t>
      </w:r>
      <w:r>
        <w:rPr>
          <w:rFonts w:ascii="SimHei" w:hAnsi="SimHei" w:eastAsia="SimHei" w:cs="SimHei"/>
          <w:sz w:val="43"/>
          <w:szCs w:val="43"/>
          <w:u w:val="single" w:color="auto"/>
          <w:spacing w:val="-181"/>
        </w:rPr>
        <w:t xml:space="preserve"> </w:t>
      </w:r>
      <w:r>
        <w:rPr>
          <w:rFonts w:ascii="SimHei" w:hAnsi="SimHei" w:eastAsia="SimHei" w:cs="SimHei"/>
          <w:sz w:val="43"/>
          <w:szCs w:val="43"/>
          <w:u w:val="single" w:color="auto"/>
          <w:spacing w:val="26"/>
        </w:rPr>
        <w:t>安化县柘溪镇人民政府</w:t>
      </w:r>
    </w:p>
    <w:p>
      <w:pPr>
        <w:pStyle w:val="BodyText"/>
        <w:spacing w:line="283" w:lineRule="auto"/>
        <w:rPr/>
      </w:pPr>
      <w:r/>
    </w:p>
    <w:p>
      <w:pPr>
        <w:pStyle w:val="BodyText"/>
        <w:spacing w:line="283" w:lineRule="auto"/>
        <w:rPr/>
      </w:pPr>
      <w:r/>
    </w:p>
    <w:p>
      <w:pPr>
        <w:pStyle w:val="BodyText"/>
        <w:spacing w:line="284" w:lineRule="auto"/>
        <w:rPr/>
      </w:pPr>
      <w:r/>
    </w:p>
    <w:p>
      <w:pPr>
        <w:pStyle w:val="BodyText"/>
        <w:spacing w:line="284" w:lineRule="auto"/>
        <w:rPr/>
      </w:pPr>
      <w:r/>
    </w:p>
    <w:p>
      <w:pPr>
        <w:ind w:left="2694"/>
        <w:spacing w:before="104" w:line="223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19"/>
        </w:rPr>
        <w:t>2025年4</w:t>
      </w:r>
      <w:r>
        <w:rPr>
          <w:rFonts w:ascii="SimHei" w:hAnsi="SimHei" w:eastAsia="SimHei" w:cs="SimHei"/>
          <w:sz w:val="32"/>
          <w:szCs w:val="32"/>
          <w:spacing w:val="155"/>
        </w:rPr>
        <w:t xml:space="preserve"> </w:t>
      </w:r>
      <w:r>
        <w:rPr>
          <w:rFonts w:ascii="SimHei" w:hAnsi="SimHei" w:eastAsia="SimHei" w:cs="SimHei"/>
          <w:sz w:val="32"/>
          <w:szCs w:val="32"/>
          <w:spacing w:val="19"/>
        </w:rPr>
        <w:t>月</w:t>
      </w:r>
      <w:r>
        <w:rPr>
          <w:rFonts w:ascii="SimHei" w:hAnsi="SimHei" w:eastAsia="SimHei" w:cs="SimHei"/>
          <w:sz w:val="32"/>
          <w:szCs w:val="32"/>
          <w:spacing w:val="-64"/>
        </w:rPr>
        <w:t xml:space="preserve"> </w:t>
      </w:r>
      <w:r>
        <w:rPr>
          <w:rFonts w:ascii="SimHei" w:hAnsi="SimHei" w:eastAsia="SimHei" w:cs="SimHei"/>
          <w:sz w:val="32"/>
          <w:szCs w:val="32"/>
          <w:spacing w:val="19"/>
        </w:rPr>
        <w:t>2</w:t>
      </w:r>
      <w:r>
        <w:rPr>
          <w:rFonts w:ascii="SimHei" w:hAnsi="SimHei" w:eastAsia="SimHei" w:cs="SimHei"/>
          <w:sz w:val="32"/>
          <w:szCs w:val="32"/>
          <w:spacing w:val="-60"/>
        </w:rPr>
        <w:t xml:space="preserve"> </w:t>
      </w:r>
      <w:r>
        <w:rPr>
          <w:rFonts w:ascii="SimHei" w:hAnsi="SimHei" w:eastAsia="SimHei" w:cs="SimHei"/>
          <w:sz w:val="32"/>
          <w:szCs w:val="32"/>
          <w:spacing w:val="19"/>
        </w:rPr>
        <w:t>7</w:t>
      </w:r>
      <w:r>
        <w:rPr>
          <w:rFonts w:ascii="SimHei" w:hAnsi="SimHei" w:eastAsia="SimHei" w:cs="SimHei"/>
          <w:sz w:val="32"/>
          <w:szCs w:val="32"/>
          <w:spacing w:val="157"/>
        </w:rPr>
        <w:t xml:space="preserve"> </w:t>
      </w:r>
      <w:r>
        <w:rPr>
          <w:rFonts w:ascii="SimHei" w:hAnsi="SimHei" w:eastAsia="SimHei" w:cs="SimHei"/>
          <w:sz w:val="32"/>
          <w:szCs w:val="32"/>
          <w:spacing w:val="19"/>
        </w:rPr>
        <w:t>日</w:t>
      </w:r>
    </w:p>
    <w:p>
      <w:pPr>
        <w:pStyle w:val="BodyText"/>
        <w:spacing w:line="277" w:lineRule="auto"/>
        <w:rPr/>
      </w:pPr>
      <w:r/>
    </w:p>
    <w:p>
      <w:pPr>
        <w:pStyle w:val="BodyText"/>
        <w:spacing w:line="277" w:lineRule="auto"/>
        <w:rPr/>
      </w:pPr>
      <w:r/>
    </w:p>
    <w:p>
      <w:pPr>
        <w:pStyle w:val="BodyText"/>
        <w:spacing w:line="277" w:lineRule="auto"/>
        <w:rPr/>
      </w:pPr>
      <w:r/>
    </w:p>
    <w:p>
      <w:pPr>
        <w:pStyle w:val="BodyText"/>
        <w:spacing w:line="277" w:lineRule="auto"/>
        <w:rPr/>
      </w:pPr>
      <w:r/>
    </w:p>
    <w:p>
      <w:pPr>
        <w:ind w:left="7204"/>
        <w:spacing w:before="78" w:line="24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—1—</w:t>
      </w:r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4899030</wp:posOffset>
            </wp:positionH>
            <wp:positionV relativeFrom="paragraph">
              <wp:posOffset>168336</wp:posOffset>
            </wp:positionV>
            <wp:extent cx="393693" cy="393624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93693" cy="393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before="63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color w:val="303050"/>
          <w:position w:val="-8"/>
        </w:rPr>
        <w:drawing>
          <wp:inline distT="0" distB="0" distL="0" distR="0">
            <wp:extent cx="222236" cy="222315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2236" cy="22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9"/>
          <w:szCs w:val="19"/>
          <w:b/>
          <w:bCs/>
          <w:color w:val="303050"/>
          <w:spacing w:val="9"/>
        </w:rPr>
        <w:t>扫描全能王</w:t>
      </w:r>
    </w:p>
    <w:p>
      <w:pPr>
        <w:pStyle w:val="BodyText"/>
        <w:ind w:left="8394"/>
        <w:spacing w:before="42" w:line="212" w:lineRule="auto"/>
        <w:rPr>
          <w:rFonts w:ascii="Times New Roman" w:hAnsi="Times New Roman" w:eastAsia="Times New Roman" w:cs="Times New Roman"/>
          <w:sz w:val="11"/>
          <w:szCs w:val="11"/>
        </w:rPr>
      </w:pPr>
      <w:r>
        <w:rPr>
          <w:rFonts w:ascii="SimHei" w:hAnsi="SimHei" w:eastAsia="SimHei" w:cs="SimHei"/>
          <w:sz w:val="11"/>
          <w:szCs w:val="11"/>
          <w:spacing w:val="23"/>
        </w:rPr>
        <w:t>3亿人都在用的扫描</w:t>
      </w:r>
      <w:r>
        <w:rPr>
          <w:sz w:val="11"/>
          <w:szCs w:val="11"/>
        </w:rPr>
        <w:t>A</w:t>
      </w:r>
      <w:r>
        <w:rPr>
          <w:rFonts w:ascii="Times New Roman" w:hAnsi="Times New Roman" w:eastAsia="Times New Roman" w:cs="Times New Roman"/>
          <w:sz w:val="11"/>
          <w:szCs w:val="11"/>
        </w:rPr>
        <w:t>pp</w:t>
      </w:r>
    </w:p>
    <w:p>
      <w:pPr>
        <w:spacing w:line="212" w:lineRule="auto"/>
        <w:sectPr>
          <w:pgSz w:w="11900" w:h="16840"/>
          <w:pgMar w:top="1431" w:right="350" w:bottom="0" w:left="1785" w:header="0" w:footer="0" w:gutter="0"/>
        </w:sectPr>
        <w:rPr>
          <w:rFonts w:ascii="Times New Roman" w:hAnsi="Times New Roman" w:eastAsia="Times New Roman" w:cs="Times New Roman"/>
          <w:sz w:val="11"/>
          <w:szCs w:val="11"/>
        </w:rPr>
      </w:pPr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ind w:left="2969" w:right="1702" w:hanging="2439"/>
        <w:spacing w:before="143" w:line="231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-44"/>
        </w:rPr>
        <w:t>安化县柘溪镇人民政府2024年度部门整体支</w:t>
      </w:r>
      <w:r>
        <w:rPr>
          <w:rFonts w:ascii="SimSun" w:hAnsi="SimSun" w:eastAsia="SimSun" w:cs="SimSun"/>
          <w:sz w:val="44"/>
          <w:szCs w:val="44"/>
          <w:spacing w:val="6"/>
        </w:rPr>
        <w:t xml:space="preserve"> </w:t>
      </w:r>
      <w:r>
        <w:rPr>
          <w:rFonts w:ascii="SimSun" w:hAnsi="SimSun" w:eastAsia="SimSun" w:cs="SimSun"/>
          <w:sz w:val="44"/>
          <w:szCs w:val="44"/>
          <w:b/>
          <w:bCs/>
          <w:spacing w:val="-52"/>
        </w:rPr>
        <w:t>出绩效自评报告</w:t>
      </w:r>
    </w:p>
    <w:p>
      <w:pPr>
        <w:ind w:left="944"/>
        <w:spacing w:before="149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16"/>
        </w:rPr>
        <w:t>一、部门(单位)基本情况</w:t>
      </w:r>
    </w:p>
    <w:p>
      <w:pPr>
        <w:ind w:left="1055"/>
        <w:spacing w:before="165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4"/>
        </w:rPr>
        <w:t>(一)部门基本情况</w:t>
      </w:r>
    </w:p>
    <w:p>
      <w:pPr>
        <w:ind w:left="344" w:right="1494" w:firstLine="599"/>
        <w:spacing w:before="115" w:line="299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30"/>
        </w:rPr>
        <w:t>柘溪镇人民政府是行政性质的单位。根据编委核定，本级政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9"/>
        </w:rPr>
        <w:t>府设置党政机构6个，事业单位5个，均为正股级。党政机构分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37"/>
        </w:rPr>
        <w:t>别是党政办公室、党建办公室、镇纪委、经济发展和生态办公室、</w:t>
      </w:r>
      <w:r>
        <w:rPr>
          <w:rFonts w:ascii="FangSong" w:hAnsi="FangSong" w:eastAsia="FangSong" w:cs="FangSong"/>
          <w:sz w:val="31"/>
          <w:szCs w:val="31"/>
          <w:spacing w:val="1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30"/>
        </w:rPr>
        <w:t>平安法治和应急管理办公室、财政办公室；事业单位分</w:t>
      </w:r>
      <w:r>
        <w:rPr>
          <w:rFonts w:ascii="FangSong" w:hAnsi="FangSong" w:eastAsia="FangSong" w:cs="FangSong"/>
          <w:sz w:val="31"/>
          <w:szCs w:val="31"/>
          <w:spacing w:val="-31"/>
        </w:rPr>
        <w:t>别为社会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9"/>
        </w:rPr>
        <w:t>事务综合服务中心、农业综合服务中心、自然资源和村镇建设事</w:t>
      </w:r>
      <w:r>
        <w:rPr>
          <w:rFonts w:ascii="FangSong" w:hAnsi="FangSong" w:eastAsia="FangSong" w:cs="FangSong"/>
          <w:sz w:val="31"/>
          <w:szCs w:val="31"/>
          <w:spacing w:val="1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9"/>
        </w:rPr>
        <w:t>务中心、退役军人服务站、综合行政执法大队。</w:t>
      </w:r>
    </w:p>
    <w:p>
      <w:pPr>
        <w:ind w:left="1075"/>
        <w:spacing w:before="6" w:line="22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2"/>
        </w:rPr>
        <w:t>(二)2024年度重点工作</w:t>
      </w:r>
    </w:p>
    <w:p>
      <w:pPr>
        <w:ind w:left="344" w:right="1529" w:firstLine="599"/>
        <w:spacing w:before="123" w:line="289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32"/>
        </w:rPr>
        <w:t>1.    </w:t>
      </w:r>
      <w:r>
        <w:rPr>
          <w:rFonts w:ascii="FangSong" w:hAnsi="FangSong" w:eastAsia="FangSong" w:cs="FangSong"/>
          <w:sz w:val="32"/>
          <w:szCs w:val="32"/>
          <w:spacing w:val="-32"/>
        </w:rPr>
        <w:t>坚持产业为要、发展为王，镇域经济高质量发</w:t>
      </w:r>
      <w:r>
        <w:rPr>
          <w:rFonts w:ascii="FangSong" w:hAnsi="FangSong" w:eastAsia="FangSong" w:cs="FangSong"/>
          <w:sz w:val="32"/>
          <w:szCs w:val="32"/>
          <w:spacing w:val="-33"/>
        </w:rPr>
        <w:t>展。高标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9"/>
        </w:rPr>
        <w:t>准完成柘杨社区乡村振兴产业园整体规划，园区配套设施进一步</w:t>
      </w:r>
      <w:r>
        <w:rPr>
          <w:rFonts w:ascii="FangSong" w:hAnsi="FangSong" w:eastAsia="FangSong" w:cs="FangSong"/>
          <w:sz w:val="32"/>
          <w:szCs w:val="32"/>
          <w:spacing w:val="1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9"/>
        </w:rPr>
        <w:t>完善。有序推动辰溪村光伏发电项目，稳步</w:t>
      </w:r>
      <w:r>
        <w:rPr>
          <w:rFonts w:ascii="FangSong" w:hAnsi="FangSong" w:eastAsia="FangSong" w:cs="FangSong"/>
          <w:sz w:val="32"/>
          <w:szCs w:val="32"/>
          <w:spacing w:val="-40"/>
        </w:rPr>
        <w:t>推进对溪加油站项目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9"/>
        </w:rPr>
        <w:t>建设，全力扫除施工障碍，维护施工环境。对溪悬索桥正式竣工</w:t>
      </w:r>
      <w:r>
        <w:rPr>
          <w:rFonts w:ascii="FangSong" w:hAnsi="FangSong" w:eastAsia="FangSong" w:cs="FangSong"/>
          <w:sz w:val="32"/>
          <w:szCs w:val="32"/>
          <w:spacing w:val="9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8"/>
        </w:rPr>
        <w:t>通行，柘溪旅游产业发展再添新名片。广益</w:t>
      </w:r>
      <w:r>
        <w:rPr>
          <w:rFonts w:ascii="FangSong" w:hAnsi="FangSong" w:eastAsia="FangSong" w:cs="FangSong"/>
          <w:sz w:val="32"/>
          <w:szCs w:val="32"/>
          <w:spacing w:val="-39"/>
        </w:rPr>
        <w:t>社区安化记忆馆正式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9"/>
        </w:rPr>
        <w:t>开馆，唐溪供销文化展示馆、大溶溪库区移民文化展示馆影响力</w:t>
      </w:r>
      <w:r>
        <w:rPr>
          <w:rFonts w:ascii="FangSong" w:hAnsi="FangSong" w:eastAsia="FangSong" w:cs="FangSong"/>
          <w:sz w:val="32"/>
          <w:szCs w:val="32"/>
          <w:spacing w:val="1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1"/>
        </w:rPr>
        <w:t>不断彰显。白鹤谷溯溪游暑期日均游客超500人次，唐溪</w:t>
      </w:r>
      <w:r>
        <w:rPr>
          <w:rFonts w:ascii="FangSong" w:hAnsi="FangSong" w:eastAsia="FangSong" w:cs="FangSong"/>
          <w:sz w:val="32"/>
          <w:szCs w:val="32"/>
          <w:spacing w:val="-32"/>
        </w:rPr>
        <w:t>茶场年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5"/>
        </w:rPr>
        <w:t>内接待游客近10万人次，旅游收入近2000万元。全镇9个村(社</w:t>
      </w:r>
      <w:r>
        <w:rPr>
          <w:rFonts w:ascii="FangSong" w:hAnsi="FangSong" w:eastAsia="FangSong" w:cs="FangSong"/>
          <w:sz w:val="32"/>
          <w:szCs w:val="32"/>
          <w:spacing w:val="1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6"/>
        </w:rPr>
        <w:t>区)集体经济收入全部突破20万元，柘杨社区、广益社区双</w:t>
      </w:r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ind w:left="644"/>
        <w:spacing w:before="88" w:line="241" w:lineRule="auto"/>
        <w:rPr>
          <w:rFonts w:ascii="SimSun" w:hAnsi="SimSun" w:eastAsia="SimSun" w:cs="SimSun"/>
          <w:sz w:val="27"/>
          <w:szCs w:val="27"/>
        </w:rPr>
      </w:pPr>
      <w:r>
        <w:rPr>
          <w:rFonts w:ascii="SimSun" w:hAnsi="SimSun" w:eastAsia="SimSun" w:cs="SimSun"/>
          <w:sz w:val="27"/>
          <w:szCs w:val="27"/>
          <w:spacing w:val="-3"/>
        </w:rPr>
        <w:t>—2—</w:t>
      </w:r>
    </w:p>
    <w:p>
      <w:pPr>
        <w:spacing w:line="241" w:lineRule="auto"/>
        <w:sectPr>
          <w:footerReference w:type="default" r:id="rId4"/>
          <w:pgSz w:w="11900" w:h="16840"/>
          <w:pgMar w:top="1431" w:right="340" w:bottom="819" w:left="1785" w:header="0" w:footer="200" w:gutter="0"/>
        </w:sectPr>
        <w:rPr>
          <w:rFonts w:ascii="SimSun" w:hAnsi="SimSun" w:eastAsia="SimSun" w:cs="SimSun"/>
          <w:sz w:val="27"/>
          <w:szCs w:val="27"/>
        </w:rPr>
      </w:pPr>
    </w:p>
    <w:p>
      <w:pPr>
        <w:ind w:left="255" w:right="1399"/>
        <w:spacing w:before="66" w:line="285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9"/>
        </w:rPr>
        <w:t>双迈入“百万元俱乐部”。成功举办益阳市村级集体</w:t>
      </w:r>
      <w:r>
        <w:rPr>
          <w:rFonts w:ascii="FangSong" w:hAnsi="FangSong" w:eastAsia="FangSong" w:cs="FangSong"/>
          <w:sz w:val="32"/>
          <w:szCs w:val="32"/>
          <w:spacing w:val="-10"/>
        </w:rPr>
        <w:t>经济发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8"/>
        </w:rPr>
        <w:t>展、债务化解暨乡镇乡村振兴人才服务站建设工作现场会。</w:t>
      </w:r>
    </w:p>
    <w:p>
      <w:pPr>
        <w:ind w:left="234" w:right="1407" w:firstLine="624"/>
        <w:spacing w:before="8" w:line="296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-32"/>
        </w:rPr>
        <w:t>2.</w:t>
      </w:r>
      <w:r>
        <w:rPr>
          <w:rFonts w:ascii="KaiTi" w:hAnsi="KaiTi" w:eastAsia="KaiTi" w:cs="KaiTi"/>
          <w:sz w:val="32"/>
          <w:szCs w:val="32"/>
          <w:spacing w:val="106"/>
        </w:rPr>
        <w:t xml:space="preserve"> </w:t>
      </w:r>
      <w:r>
        <w:rPr>
          <w:rFonts w:ascii="KaiTi" w:hAnsi="KaiTi" w:eastAsia="KaiTi" w:cs="KaiTi"/>
          <w:sz w:val="32"/>
          <w:szCs w:val="32"/>
          <w:b/>
          <w:bCs/>
          <w:spacing w:val="-32"/>
        </w:rPr>
        <w:t>坚持民生为本、稳定为基，治理体系进一步健全。</w:t>
      </w:r>
      <w:r>
        <w:rPr>
          <w:rFonts w:ascii="FangSong" w:hAnsi="FangSong" w:eastAsia="FangSong" w:cs="FangSong"/>
          <w:sz w:val="32"/>
          <w:szCs w:val="32"/>
          <w:spacing w:val="-32"/>
        </w:rPr>
        <w:t>全年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1"/>
        </w:rPr>
        <w:t>开展志愿服务活动6000余人次，“爱在柘溪”志愿服务获中社</w:t>
      </w:r>
      <w:r>
        <w:rPr>
          <w:rFonts w:ascii="FangSong" w:hAnsi="FangSong" w:eastAsia="FangSong" w:cs="FangSong"/>
          <w:sz w:val="32"/>
          <w:szCs w:val="32"/>
          <w:spacing w:val="10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1"/>
        </w:rPr>
        <w:t>部肯定，以志愿服务助推基层治理柘溪经验先后在全省城乡社区</w:t>
      </w:r>
      <w:r>
        <w:rPr>
          <w:rFonts w:ascii="FangSong" w:hAnsi="FangSong" w:eastAsia="FangSong" w:cs="FangSong"/>
          <w:sz w:val="32"/>
          <w:szCs w:val="32"/>
          <w:spacing w:val="1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0"/>
        </w:rPr>
        <w:t>“领头雁”示范培训班，全市乡镇长、街道办主任履职能力提升</w:t>
      </w:r>
      <w:r>
        <w:rPr>
          <w:rFonts w:ascii="FangSong" w:hAnsi="FangSong" w:eastAsia="FangSong" w:cs="FangSong"/>
          <w:sz w:val="32"/>
          <w:szCs w:val="32"/>
          <w:spacing w:val="1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1"/>
        </w:rPr>
        <w:t>班上作经验分享。纵深推进扫黑除恶、“利剑护蕾”、反电诈等</w:t>
      </w:r>
      <w:r>
        <w:rPr>
          <w:rFonts w:ascii="FangSong" w:hAnsi="FangSong" w:eastAsia="FangSong" w:cs="FangSong"/>
          <w:sz w:val="32"/>
          <w:szCs w:val="32"/>
          <w:spacing w:val="1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5"/>
        </w:rPr>
        <w:t>专项行动，打造禁毒主题文化广场。成功打赢1月份低温</w:t>
      </w:r>
      <w:r>
        <w:rPr>
          <w:rFonts w:ascii="FangSong" w:hAnsi="FangSong" w:eastAsia="FangSong" w:cs="FangSong"/>
          <w:sz w:val="32"/>
          <w:szCs w:val="32"/>
          <w:spacing w:val="-26"/>
        </w:rPr>
        <w:t>雨雪冰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3"/>
        </w:rPr>
        <w:t>冻灾害防范战，6月份防汛救灾攻坚战，收集上报受灾人口4731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8"/>
        </w:rPr>
        <w:t>人，集中安置人口529人，分散安置人口156人，投入应急处险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5"/>
        </w:rPr>
        <w:t>资金34.69万。</w:t>
      </w:r>
    </w:p>
    <w:p>
      <w:pPr>
        <w:ind w:left="255" w:right="1416" w:firstLine="604"/>
        <w:spacing w:before="20" w:line="29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-27"/>
        </w:rPr>
        <w:t>3.</w:t>
      </w:r>
      <w:r>
        <w:rPr>
          <w:rFonts w:ascii="KaiTi" w:hAnsi="KaiTi" w:eastAsia="KaiTi" w:cs="KaiTi"/>
          <w:sz w:val="32"/>
          <w:szCs w:val="32"/>
          <w:spacing w:val="-27"/>
        </w:rPr>
        <w:t xml:space="preserve"> </w:t>
      </w:r>
      <w:r>
        <w:rPr>
          <w:rFonts w:ascii="KaiTi" w:hAnsi="KaiTi" w:eastAsia="KaiTi" w:cs="KaiTi"/>
          <w:sz w:val="32"/>
          <w:szCs w:val="32"/>
          <w:b/>
          <w:bCs/>
          <w:spacing w:val="-27"/>
        </w:rPr>
        <w:t>坚持生态为先、安全为重，发展环境</w:t>
      </w:r>
      <w:r>
        <w:rPr>
          <w:rFonts w:ascii="KaiTi" w:hAnsi="KaiTi" w:eastAsia="KaiTi" w:cs="KaiTi"/>
          <w:sz w:val="32"/>
          <w:szCs w:val="32"/>
          <w:b/>
          <w:bCs/>
          <w:spacing w:val="-28"/>
        </w:rPr>
        <w:t>大幅度改善。</w:t>
      </w:r>
      <w:r>
        <w:rPr>
          <w:rFonts w:ascii="FangSong" w:hAnsi="FangSong" w:eastAsia="FangSong" w:cs="FangSong"/>
          <w:sz w:val="32"/>
          <w:szCs w:val="32"/>
          <w:spacing w:val="-28"/>
        </w:rPr>
        <w:t>打好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0"/>
        </w:rPr>
        <w:t>“长江十年禁渔”持久战，严厉打击各类非</w:t>
      </w:r>
      <w:r>
        <w:rPr>
          <w:rFonts w:ascii="FangSong" w:hAnsi="FangSong" w:eastAsia="FangSong" w:cs="FangSong"/>
          <w:sz w:val="32"/>
          <w:szCs w:val="32"/>
          <w:spacing w:val="-31"/>
        </w:rPr>
        <w:t>法垂钓、偷捕行为，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4"/>
        </w:rPr>
        <w:t>全年出动执法人员216人次、执法船只106艘次，收缴鱼网260</w:t>
      </w:r>
      <w:r>
        <w:rPr>
          <w:rFonts w:ascii="FangSong" w:hAnsi="FangSong" w:eastAsia="FangSong" w:cs="FangSong"/>
          <w:sz w:val="32"/>
          <w:szCs w:val="32"/>
          <w:spacing w:val="9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2"/>
        </w:rPr>
        <w:t>副、地笼70个，收缴活饵20多公斤，放生渔</w:t>
      </w:r>
      <w:r>
        <w:rPr>
          <w:rFonts w:ascii="FangSong" w:hAnsi="FangSong" w:eastAsia="FangSong" w:cs="FangSong"/>
          <w:sz w:val="32"/>
          <w:szCs w:val="32"/>
          <w:spacing w:val="-13"/>
        </w:rPr>
        <w:t>获物120多公斤，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1"/>
        </w:rPr>
        <w:t>劝返垂钓人员150人次。立案查处非法捕捞案件1起，扣压违法</w:t>
      </w:r>
      <w:r>
        <w:rPr>
          <w:rFonts w:ascii="FangSong" w:hAnsi="FangSong" w:eastAsia="FangSong" w:cs="FangSong"/>
          <w:sz w:val="32"/>
          <w:szCs w:val="32"/>
          <w:spacing w:val="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1"/>
        </w:rPr>
        <w:t>船只2艘。有效制止非法采挖河道自然资源行为3起。积极参与</w:t>
      </w:r>
      <w:r>
        <w:rPr>
          <w:rFonts w:ascii="FangSong" w:hAnsi="FangSong" w:eastAsia="FangSong" w:cs="FangSong"/>
          <w:sz w:val="32"/>
          <w:szCs w:val="32"/>
          <w:spacing w:val="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2"/>
        </w:rPr>
        <w:t>生态红线、基本农田、城镇开发边界线划定，加大土地开发整理</w:t>
      </w:r>
      <w:r>
        <w:rPr>
          <w:rFonts w:ascii="FangSong" w:hAnsi="FangSong" w:eastAsia="FangSong" w:cs="FangSong"/>
          <w:sz w:val="32"/>
          <w:szCs w:val="32"/>
          <w:spacing w:val="1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0"/>
        </w:rPr>
        <w:t>力度，确保全镇耕地总量动态平衡。全年申</w:t>
      </w:r>
      <w:r>
        <w:rPr>
          <w:rFonts w:ascii="FangSong" w:hAnsi="FangSong" w:eastAsia="FangSong" w:cs="FangSong"/>
          <w:sz w:val="32"/>
          <w:szCs w:val="32"/>
          <w:spacing w:val="-31"/>
        </w:rPr>
        <w:t>领并完成耕地恢复任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2"/>
        </w:rPr>
        <w:t>务131.12亩。全面落实安全生产治本攻坚三年行动各项举措，</w:t>
      </w:r>
    </w:p>
    <w:p>
      <w:pPr>
        <w:ind w:left="255" w:right="1309"/>
        <w:spacing w:before="2" w:line="29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25"/>
        </w:rPr>
        <w:t>全年集中开展除患攻坚行动50余次，下达现场检查文书30余份，</w:t>
      </w:r>
      <w:r>
        <w:rPr>
          <w:rFonts w:ascii="FangSong" w:hAnsi="FangSong" w:eastAsia="FangSong" w:cs="FangSong"/>
          <w:sz w:val="32"/>
          <w:szCs w:val="32"/>
          <w:spacing w:val="9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8"/>
        </w:rPr>
        <w:t>立案处罚2起，罚款0.2万元。</w:t>
      </w:r>
    </w:p>
    <w:p>
      <w:pPr>
        <w:ind w:left="255" w:right="1279" w:firstLine="599"/>
        <w:spacing w:before="51" w:line="282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spacing w:val="-30"/>
        </w:rPr>
        <w:t>4.</w:t>
      </w:r>
      <w:r>
        <w:rPr>
          <w:rFonts w:ascii="KaiTi" w:hAnsi="KaiTi" w:eastAsia="KaiTi" w:cs="KaiTi"/>
          <w:sz w:val="32"/>
          <w:szCs w:val="32"/>
          <w:spacing w:val="103"/>
        </w:rPr>
        <w:t xml:space="preserve"> </w:t>
      </w:r>
      <w:r>
        <w:rPr>
          <w:rFonts w:ascii="KaiTi" w:hAnsi="KaiTi" w:eastAsia="KaiTi" w:cs="KaiTi"/>
          <w:sz w:val="32"/>
          <w:szCs w:val="32"/>
          <w:b/>
          <w:bCs/>
          <w:spacing w:val="-30"/>
        </w:rPr>
        <w:t>坚持党建引领、崇德尚廉，履职能力全方位提升。</w:t>
      </w:r>
      <w:r>
        <w:rPr>
          <w:rFonts w:ascii="FangSong" w:hAnsi="FangSong" w:eastAsia="FangSong" w:cs="FangSong"/>
          <w:sz w:val="32"/>
          <w:szCs w:val="32"/>
          <w:spacing w:val="-30"/>
        </w:rPr>
        <w:t>压实</w:t>
      </w:r>
      <w:r>
        <w:rPr>
          <w:rFonts w:ascii="FangSong" w:hAnsi="FangSong" w:eastAsia="FangSong" w:cs="FangSong"/>
          <w:sz w:val="32"/>
          <w:szCs w:val="32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-29"/>
        </w:rPr>
        <w:t>全面从严治党“一岗双责”责任，规范建立党</w:t>
      </w:r>
      <w:r>
        <w:rPr>
          <w:rFonts w:ascii="FangSong" w:hAnsi="FangSong" w:eastAsia="FangSong" w:cs="FangSong"/>
          <w:sz w:val="32"/>
          <w:szCs w:val="32"/>
          <w:spacing w:val="-30"/>
        </w:rPr>
        <w:t>委、党总支、党支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6"/>
        </w:rPr>
        <w:t>部、党员四级党建责任体系，制定党建工作责任清单、任务清单，</w:t>
      </w:r>
      <w:r>
        <w:rPr>
          <w:rFonts w:ascii="FangSong" w:hAnsi="FangSong" w:eastAsia="FangSong" w:cs="FangSong"/>
          <w:sz w:val="32"/>
          <w:szCs w:val="32"/>
          <w:spacing w:val="1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8"/>
        </w:rPr>
        <w:t>做到党的工作有人抓、问题有人管、责任有人担。</w:t>
      </w:r>
      <w:r>
        <w:rPr>
          <w:rFonts w:ascii="FangSong" w:hAnsi="FangSong" w:eastAsia="FangSong" w:cs="FangSong"/>
          <w:sz w:val="32"/>
          <w:szCs w:val="32"/>
          <w:spacing w:val="-29"/>
        </w:rPr>
        <w:t>有效落实基层</w:t>
      </w:r>
    </w:p>
    <w:p>
      <w:pPr>
        <w:ind w:left="7174"/>
        <w:spacing w:before="1" w:line="239" w:lineRule="auto"/>
        <w:rPr>
          <w:rFonts w:ascii="SimSun" w:hAnsi="SimSun" w:eastAsia="SimSun" w:cs="SimSun"/>
          <w:sz w:val="27"/>
          <w:szCs w:val="27"/>
        </w:rPr>
      </w:pPr>
      <w:r>
        <w:rPr>
          <w:rFonts w:ascii="SimSun" w:hAnsi="SimSun" w:eastAsia="SimSun" w:cs="SimSun"/>
          <w:sz w:val="27"/>
          <w:szCs w:val="27"/>
          <w:spacing w:val="-3"/>
        </w:rPr>
        <w:t>—3—</w:t>
      </w:r>
    </w:p>
    <w:p>
      <w:pPr>
        <w:spacing w:line="239" w:lineRule="auto"/>
        <w:sectPr>
          <w:footerReference w:type="default" r:id="rId5"/>
          <w:pgSz w:w="11900" w:h="16840"/>
          <w:pgMar w:top="1331" w:right="330" w:bottom="819" w:left="1785" w:header="0" w:footer="200" w:gutter="0"/>
        </w:sectPr>
        <w:rPr>
          <w:rFonts w:ascii="SimSun" w:hAnsi="SimSun" w:eastAsia="SimSun" w:cs="SimSun"/>
          <w:sz w:val="27"/>
          <w:szCs w:val="27"/>
        </w:rPr>
      </w:pPr>
    </w:p>
    <w:p>
      <w:pPr>
        <w:ind w:left="104" w:right="1538"/>
        <w:spacing w:before="61" w:line="292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18"/>
        </w:rPr>
        <w:t>减负各项举措，出台《柘溪镇为村级组织减负赋能具体措</w:t>
      </w:r>
      <w:r>
        <w:rPr>
          <w:rFonts w:ascii="FangSong" w:hAnsi="FangSong" w:eastAsia="FangSong" w:cs="FangSong"/>
          <w:sz w:val="31"/>
          <w:szCs w:val="31"/>
          <w:spacing w:val="-19"/>
        </w:rPr>
        <w:t>施》5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"/>
        </w:rPr>
        <w:t>个方面8条措施，指导村(社区)严格按照“3+5+5”要求规范</w:t>
      </w:r>
      <w:r>
        <w:rPr>
          <w:rFonts w:ascii="FangSong" w:hAnsi="FangSong" w:eastAsia="FangSong" w:cs="FangSong"/>
          <w:sz w:val="31"/>
          <w:szCs w:val="31"/>
          <w:spacing w:val="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9"/>
        </w:rPr>
        <w:t>挂牌，全年取消村级组织不应承担或没有能力承担的工作事项</w:t>
      </w:r>
      <w:r>
        <w:rPr>
          <w:rFonts w:ascii="FangSong" w:hAnsi="FangSong" w:eastAsia="FangSong" w:cs="FangSong"/>
          <w:sz w:val="31"/>
          <w:szCs w:val="31"/>
          <w:spacing w:val="-20"/>
        </w:rPr>
        <w:t>57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"/>
        </w:rPr>
        <w:t>项，会议减少20%,文件减少10%,合并清理全镇各版块</w:t>
      </w:r>
      <w:r>
        <w:rPr>
          <w:rFonts w:ascii="Times New Roman" w:hAnsi="Times New Roman" w:eastAsia="Times New Roman" w:cs="Times New Roman"/>
          <w:sz w:val="31"/>
          <w:szCs w:val="31"/>
          <w:spacing w:val="-2"/>
        </w:rPr>
        <w:t>QQ</w:t>
      </w:r>
      <w:r>
        <w:rPr>
          <w:rFonts w:ascii="FangSong" w:hAnsi="FangSong" w:eastAsia="FangSong" w:cs="FangSong"/>
          <w:sz w:val="31"/>
          <w:szCs w:val="31"/>
          <w:spacing w:val="-2"/>
        </w:rPr>
        <w:t>群、</w:t>
      </w:r>
      <w:r>
        <w:rPr>
          <w:rFonts w:ascii="FangSong" w:hAnsi="FangSong" w:eastAsia="FangSong" w:cs="FangSong"/>
          <w:sz w:val="31"/>
          <w:szCs w:val="31"/>
          <w:spacing w:val="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"/>
        </w:rPr>
        <w:t>微信群20个。</w:t>
      </w:r>
    </w:p>
    <w:p>
      <w:pPr>
        <w:ind w:left="104" w:right="1480" w:firstLine="730"/>
        <w:spacing w:before="121" w:line="34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(二)部门整体支出规模、使用方向和主要</w:t>
      </w:r>
      <w:r>
        <w:rPr>
          <w:rFonts w:ascii="FangSong" w:hAnsi="FangSong" w:eastAsia="FangSong" w:cs="FangSong"/>
          <w:sz w:val="30"/>
          <w:szCs w:val="30"/>
          <w:spacing w:val="-2"/>
        </w:rPr>
        <w:t>内容、涉及范围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8"/>
        </w:rPr>
        <w:t>等。</w:t>
      </w:r>
    </w:p>
    <w:p>
      <w:pPr>
        <w:ind w:left="104" w:right="1524" w:firstLine="590"/>
        <w:spacing w:before="15" w:line="328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9"/>
        </w:rPr>
        <w:t>2024年部门整体支出规模3259.77万元，其中项目支出</w:t>
      </w:r>
      <w:r>
        <w:rPr>
          <w:rFonts w:ascii="FangSong" w:hAnsi="FangSong" w:eastAsia="FangSong" w:cs="FangSong"/>
          <w:sz w:val="31"/>
          <w:szCs w:val="31"/>
          <w:spacing w:val="1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3"/>
        </w:rPr>
        <w:t>1798.63万元，主要使用方向是政府工作的正常开展，主要内容</w:t>
      </w:r>
      <w:r>
        <w:rPr>
          <w:rFonts w:ascii="FangSong" w:hAnsi="FangSong" w:eastAsia="FangSong" w:cs="FangSong"/>
          <w:sz w:val="31"/>
          <w:szCs w:val="31"/>
          <w:spacing w:val="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0"/>
        </w:rPr>
        <w:t>与涉及范围是政府依法履行职能所发生的各项费用，包括基本支</w:t>
      </w:r>
      <w:r>
        <w:rPr>
          <w:rFonts w:ascii="FangSong" w:hAnsi="FangSong" w:eastAsia="FangSong" w:cs="FangSong"/>
          <w:sz w:val="31"/>
          <w:szCs w:val="31"/>
          <w:spacing w:val="1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0"/>
        </w:rPr>
        <w:t>出和项目支出。基本支出为保障政府正常运转和完成日常工作任</w:t>
      </w:r>
      <w:r>
        <w:rPr>
          <w:rFonts w:ascii="FangSong" w:hAnsi="FangSong" w:eastAsia="FangSong" w:cs="FangSong"/>
          <w:sz w:val="31"/>
          <w:szCs w:val="31"/>
          <w:spacing w:val="1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0"/>
        </w:rPr>
        <w:t>务发生的支出，包括人员支出和公用经费支出。项目支出是政府</w:t>
      </w:r>
      <w:r>
        <w:rPr>
          <w:rFonts w:ascii="FangSong" w:hAnsi="FangSong" w:eastAsia="FangSong" w:cs="FangSong"/>
          <w:sz w:val="31"/>
          <w:szCs w:val="31"/>
          <w:spacing w:val="1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6"/>
        </w:rPr>
        <w:t>以及各村的项目支出。</w:t>
      </w:r>
    </w:p>
    <w:p>
      <w:pPr>
        <w:ind w:left="694"/>
        <w:spacing w:before="48" w:line="221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8"/>
        </w:rPr>
        <w:t>二、一般公共预算支出情况</w:t>
      </w:r>
    </w:p>
    <w:p>
      <w:pPr>
        <w:ind w:left="904"/>
        <w:spacing w:before="181" w:line="225" w:lineRule="auto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-3"/>
        </w:rPr>
        <w:t>(一)基本支出情况</w:t>
      </w:r>
    </w:p>
    <w:p>
      <w:pPr>
        <w:ind w:left="104" w:right="1487" w:firstLine="590"/>
        <w:spacing w:before="209" w:line="322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9"/>
        </w:rPr>
        <w:t>资金主要用于政府正常运行支出，包含工资福</w:t>
      </w:r>
      <w:r>
        <w:rPr>
          <w:rFonts w:ascii="FangSong" w:hAnsi="FangSong" w:eastAsia="FangSong" w:cs="FangSong"/>
          <w:sz w:val="32"/>
          <w:szCs w:val="32"/>
          <w:spacing w:val="-20"/>
        </w:rPr>
        <w:t>利费1396.51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9"/>
        </w:rPr>
        <w:t>万元，商品和服务支出559.01万元，对个人和家庭的补助81.88</w:t>
      </w:r>
      <w:r>
        <w:rPr>
          <w:rFonts w:ascii="FangSong" w:hAnsi="FangSong" w:eastAsia="FangSong" w:cs="FangSong"/>
          <w:sz w:val="32"/>
          <w:szCs w:val="32"/>
          <w:spacing w:val="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7"/>
        </w:rPr>
        <w:t>万元。</w:t>
      </w:r>
    </w:p>
    <w:p>
      <w:pPr>
        <w:ind w:left="104" w:right="1437" w:firstLine="590"/>
        <w:spacing w:before="57" w:line="331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8"/>
        </w:rPr>
        <w:t>2024年“三公经费”总额34.32万元，其中公务用车购置费</w:t>
      </w:r>
      <w:r>
        <w:rPr>
          <w:rFonts w:ascii="FangSong" w:hAnsi="FangSong" w:eastAsia="FangSong" w:cs="FangSong"/>
          <w:sz w:val="32"/>
          <w:szCs w:val="32"/>
          <w:spacing w:val="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3"/>
        </w:rPr>
        <w:t>0元，公务用车运行维护费4万元，与202</w:t>
      </w:r>
      <w:r>
        <w:rPr>
          <w:rFonts w:ascii="FangSong" w:hAnsi="FangSong" w:eastAsia="FangSong" w:cs="FangSong"/>
          <w:sz w:val="32"/>
          <w:szCs w:val="32"/>
          <w:spacing w:val="-14"/>
        </w:rPr>
        <w:t>3年基本持平，现有公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8"/>
        </w:rPr>
        <w:t>务车辆1台。公务接待费30.32万元，与202</w:t>
      </w:r>
      <w:r>
        <w:rPr>
          <w:rFonts w:ascii="FangSong" w:hAnsi="FangSong" w:eastAsia="FangSong" w:cs="FangSong"/>
          <w:sz w:val="32"/>
          <w:szCs w:val="32"/>
          <w:spacing w:val="-9"/>
        </w:rPr>
        <w:t>3年持平。</w:t>
      </w:r>
    </w:p>
    <w:p>
      <w:pPr>
        <w:ind w:left="845"/>
        <w:spacing w:before="12" w:line="227" w:lineRule="auto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2"/>
        </w:rPr>
        <w:t>(二)项目支出情况</w:t>
      </w:r>
    </w:p>
    <w:p>
      <w:pPr>
        <w:ind w:left="694"/>
        <w:spacing w:before="225" w:line="2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10"/>
        </w:rPr>
        <w:t>我单位项目支出共计1798.63万元，主要包括1.同网同价电</w:t>
      </w:r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ind w:left="414"/>
        <w:spacing w:before="85" w:line="241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spacing w:val="-3"/>
        </w:rPr>
        <w:t>—4—</w:t>
      </w:r>
    </w:p>
    <w:p>
      <w:pPr>
        <w:spacing w:line="241" w:lineRule="auto"/>
        <w:sectPr>
          <w:footerReference w:type="default" r:id="rId6"/>
          <w:pgSz w:w="11900" w:h="16840"/>
          <w:pgMar w:top="1264" w:right="330" w:bottom="819" w:left="1785" w:header="0" w:footer="200" w:gutter="0"/>
        </w:sectPr>
        <w:rPr>
          <w:rFonts w:ascii="SimSun" w:hAnsi="SimSun" w:eastAsia="SimSun" w:cs="SimSun"/>
          <w:sz w:val="26"/>
          <w:szCs w:val="26"/>
        </w:rPr>
      </w:pPr>
    </w:p>
    <w:p>
      <w:pPr>
        <w:ind w:left="185" w:right="1285"/>
        <w:spacing w:before="65" w:line="329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12"/>
        </w:rPr>
        <w:t>价补贴及公路建设等项目506.02万元；2.库区</w:t>
      </w:r>
      <w:r>
        <w:rPr>
          <w:rFonts w:ascii="FangSong" w:hAnsi="FangSong" w:eastAsia="FangSong" w:cs="FangSong"/>
          <w:sz w:val="31"/>
          <w:szCs w:val="31"/>
          <w:spacing w:val="-13"/>
        </w:rPr>
        <w:t>补助及标兵财政所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7"/>
        </w:rPr>
        <w:t>奖补等项目124.82万元；3.民生资金450万元；4.2024年农村公</w:t>
      </w:r>
      <w:r>
        <w:rPr>
          <w:rFonts w:ascii="FangSong" w:hAnsi="FangSong" w:eastAsia="FangSong" w:cs="FangSong"/>
          <w:sz w:val="31"/>
          <w:szCs w:val="31"/>
          <w:spacing w:val="1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4"/>
        </w:rPr>
        <w:t>益事业财政奖补70万元；5.唐溪村“安化供销文化展示馆”码头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4"/>
        </w:rPr>
        <w:t>建设项目24万元；6.一部一站示范点创建经费20万元；7.其他</w:t>
      </w:r>
      <w:r>
        <w:rPr>
          <w:rFonts w:ascii="FangSong" w:hAnsi="FangSong" w:eastAsia="FangSong" w:cs="FangSong"/>
          <w:sz w:val="31"/>
          <w:szCs w:val="31"/>
          <w:spacing w:val="1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3"/>
        </w:rPr>
        <w:t>项目资金603.79万元，其它资金主要用于机关日常运行维护公用</w:t>
      </w:r>
      <w:r>
        <w:rPr>
          <w:rFonts w:ascii="FangSong" w:hAnsi="FangSong" w:eastAsia="FangSong" w:cs="FangSong"/>
          <w:sz w:val="31"/>
          <w:szCs w:val="31"/>
          <w:spacing w:val="1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2"/>
        </w:rPr>
        <w:t>开支。</w:t>
      </w:r>
    </w:p>
    <w:p>
      <w:pPr>
        <w:ind w:left="185" w:right="1129" w:firstLine="609"/>
        <w:spacing w:before="11" w:line="325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9"/>
        </w:rPr>
        <w:t>我镇项目支出严格按照国家财经法规、预算资金管理办法、</w:t>
      </w:r>
      <w:r>
        <w:rPr>
          <w:rFonts w:ascii="FangSong" w:hAnsi="FangSong" w:eastAsia="FangSong" w:cs="FangSong"/>
          <w:sz w:val="32"/>
          <w:szCs w:val="32"/>
          <w:spacing w:val="1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2"/>
        </w:rPr>
        <w:t>财务管理制度以及省级政府对财政专项资金管理有</w:t>
      </w:r>
      <w:r>
        <w:rPr>
          <w:rFonts w:ascii="FangSong" w:hAnsi="FangSong" w:eastAsia="FangSong" w:cs="FangSong"/>
          <w:sz w:val="32"/>
          <w:szCs w:val="32"/>
          <w:spacing w:val="-13"/>
        </w:rPr>
        <w:t>关法规的规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9"/>
        </w:rPr>
        <w:t>定执行，把项目资金的审批分配、监督检查与绩效评价结合起来。</w:t>
      </w:r>
      <w:r>
        <w:rPr>
          <w:rFonts w:ascii="FangSong" w:hAnsi="FangSong" w:eastAsia="FangSong" w:cs="FangSong"/>
          <w:sz w:val="32"/>
          <w:szCs w:val="32"/>
          <w:spacing w:val="9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3"/>
        </w:rPr>
        <w:t>项目支出中用于采购货物、服务类、拨款类等资金支出</w:t>
      </w:r>
      <w:r>
        <w:rPr>
          <w:rFonts w:ascii="FangSong" w:hAnsi="FangSong" w:eastAsia="FangSong" w:cs="FangSong"/>
          <w:sz w:val="32"/>
          <w:szCs w:val="32"/>
          <w:spacing w:val="-24"/>
        </w:rPr>
        <w:t>由国库集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3"/>
        </w:rPr>
        <w:t>中支付，其他支出遵循先预算、再审批、后支出的</w:t>
      </w:r>
      <w:r>
        <w:rPr>
          <w:rFonts w:ascii="FangSong" w:hAnsi="FangSong" w:eastAsia="FangSong" w:cs="FangSong"/>
          <w:sz w:val="32"/>
          <w:szCs w:val="32"/>
          <w:spacing w:val="-24"/>
        </w:rPr>
        <w:t>原则，确保了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2"/>
        </w:rPr>
        <w:t>财政资金分配和财政审批程序合法，保证了项目资金的合理使</w:t>
      </w:r>
      <w:r>
        <w:rPr>
          <w:rFonts w:ascii="FangSong" w:hAnsi="FangSong" w:eastAsia="FangSong" w:cs="FangSong"/>
          <w:sz w:val="32"/>
          <w:szCs w:val="32"/>
          <w:spacing w:val="1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6"/>
        </w:rPr>
        <w:t>用。</w:t>
      </w:r>
    </w:p>
    <w:p>
      <w:pPr>
        <w:ind w:left="795"/>
        <w:spacing w:before="49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2"/>
        </w:rPr>
        <w:t>三、政府性基金预算支出情况</w:t>
      </w:r>
    </w:p>
    <w:p>
      <w:pPr>
        <w:ind w:left="185" w:right="1109" w:firstLine="609"/>
        <w:spacing w:before="95" w:line="30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7"/>
        </w:rPr>
        <w:t>我单位政府性基金全年预算24万元，全年决算数为24万元，</w:t>
      </w:r>
      <w:r>
        <w:rPr>
          <w:rFonts w:ascii="FangSong" w:hAnsi="FangSong" w:eastAsia="FangSong" w:cs="FangSong"/>
          <w:sz w:val="32"/>
          <w:szCs w:val="32"/>
          <w:spacing w:val="1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4"/>
        </w:rPr>
        <w:t>为唐溪村“安化供销文化展示馆”码头建设24万元。</w:t>
      </w:r>
    </w:p>
    <w:p>
      <w:pPr>
        <w:ind w:left="795"/>
        <w:spacing w:before="100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3"/>
        </w:rPr>
        <w:t>四、国有资本经营预算支出情况</w:t>
      </w:r>
    </w:p>
    <w:p>
      <w:pPr>
        <w:ind w:left="795"/>
        <w:spacing w:before="188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7"/>
        </w:rPr>
        <w:t>2024年本部门无国有资本经营预算的支出。</w:t>
      </w:r>
    </w:p>
    <w:p>
      <w:pPr>
        <w:ind w:left="795"/>
        <w:spacing w:before="217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1"/>
        </w:rPr>
        <w:t>五、社会保险基金预算支出情况</w:t>
      </w:r>
    </w:p>
    <w:p>
      <w:pPr>
        <w:ind w:left="795"/>
        <w:spacing w:before="196" w:line="22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7"/>
        </w:rPr>
        <w:t>2024年本部门无社会保险基金预算的支出。</w:t>
      </w:r>
    </w:p>
    <w:p>
      <w:pPr>
        <w:ind w:left="795"/>
        <w:spacing w:before="200" w:line="221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1"/>
        </w:rPr>
        <w:t>六、部门整体支出绩效情况</w:t>
      </w:r>
    </w:p>
    <w:p>
      <w:pPr>
        <w:ind w:left="185" w:right="1265" w:firstLine="719"/>
        <w:spacing w:before="201" w:line="343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2"/>
        </w:rPr>
        <w:t>(一)坚持党建+品牌打造的工作主基调，团结带领全镇干</w:t>
      </w:r>
      <w:r>
        <w:rPr>
          <w:rFonts w:ascii="FangSong" w:hAnsi="FangSong" w:eastAsia="FangSong" w:cs="FangSong"/>
          <w:sz w:val="32"/>
          <w:szCs w:val="32"/>
          <w:spacing w:val="1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8"/>
        </w:rPr>
        <w:t>部群众锚定“抓产业发展推动乡村振兴.抓乡村建设回应民生关</w:t>
      </w:r>
    </w:p>
    <w:p>
      <w:pPr>
        <w:ind w:left="7274"/>
        <w:spacing w:before="158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-3"/>
        </w:rPr>
        <w:t>—5—</w:t>
      </w:r>
    </w:p>
    <w:p>
      <w:pPr>
        <w:sectPr>
          <w:footerReference w:type="default" r:id="rId7"/>
          <w:pgSz w:w="11900" w:h="16840"/>
          <w:pgMar w:top="1345" w:right="350" w:bottom="819" w:left="1785" w:header="0" w:footer="200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ind w:left="175" w:right="1514"/>
        <w:spacing w:before="73" w:line="329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24"/>
        </w:rPr>
        <w:t>切，抓基层治理提升社会和谐，抓干部作风促进工作</w:t>
      </w:r>
      <w:r>
        <w:rPr>
          <w:rFonts w:ascii="FangSong" w:hAnsi="FangSong" w:eastAsia="FangSong" w:cs="FangSong"/>
          <w:sz w:val="31"/>
          <w:szCs w:val="31"/>
          <w:spacing w:val="-25"/>
        </w:rPr>
        <w:t>落实”年度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31"/>
        </w:rPr>
        <w:t>工作目标，攻坚克难，砥砺奋进，经济社会高质量发展步履坚实，</w:t>
      </w:r>
      <w:r>
        <w:rPr>
          <w:rFonts w:ascii="FangSong" w:hAnsi="FangSong" w:eastAsia="FangSong" w:cs="FangSong"/>
          <w:sz w:val="31"/>
          <w:szCs w:val="31"/>
          <w:spacing w:val="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2"/>
        </w:rPr>
        <w:t>各项事业取得长足进步。全年实现税收1309.2万元，实现规模工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业企业产值2.38亿元，完成固定资产投资2.13亿元。</w:t>
      </w:r>
    </w:p>
    <w:p>
      <w:pPr>
        <w:ind w:left="175" w:right="1514" w:firstLine="709"/>
        <w:spacing w:before="11" w:line="307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17"/>
        </w:rPr>
        <w:t>(二)用心用情做好重点项目建设服务工作，柘溪已成为名</w:t>
      </w:r>
      <w:r>
        <w:rPr>
          <w:rFonts w:ascii="FangSong" w:hAnsi="FangSong" w:eastAsia="FangSong" w:cs="FangSong"/>
          <w:sz w:val="31"/>
          <w:szCs w:val="31"/>
          <w:spacing w:val="1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31"/>
        </w:rPr>
        <w:t>副其实的安化西部交通枢纽。资江大桥、东渠公路全线正式通车，</w:t>
      </w:r>
      <w:r>
        <w:rPr>
          <w:rFonts w:ascii="FangSong" w:hAnsi="FangSong" w:eastAsia="FangSong" w:cs="FangSong"/>
          <w:sz w:val="31"/>
          <w:szCs w:val="31"/>
          <w:spacing w:val="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4"/>
        </w:rPr>
        <w:t>对溪悬索桥如期竣工通行，官新高速安化西出口、旅游码头游客</w:t>
      </w:r>
      <w:r>
        <w:rPr>
          <w:rFonts w:ascii="FangSong" w:hAnsi="FangSong" w:eastAsia="FangSong" w:cs="FangSong"/>
          <w:sz w:val="31"/>
          <w:szCs w:val="31"/>
          <w:spacing w:val="1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6"/>
        </w:rPr>
        <w:t>川流不息，柘溪已成为库区30万群众出行的必经之地。</w:t>
      </w:r>
    </w:p>
    <w:p>
      <w:pPr>
        <w:ind w:left="175" w:right="1572" w:firstLine="709"/>
        <w:spacing w:before="216" w:line="31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17"/>
        </w:rPr>
        <w:t>(三)有序推动唐溪茶场开发建设，柘溪库区生态旅游中心</w:t>
      </w:r>
      <w:r>
        <w:rPr>
          <w:rFonts w:ascii="FangSong" w:hAnsi="FangSong" w:eastAsia="FangSong" w:cs="FangSong"/>
          <w:sz w:val="31"/>
          <w:szCs w:val="31"/>
          <w:spacing w:val="1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2"/>
        </w:rPr>
        <w:t>声名鹊起。11月18日，省委主要领导同志亲临茶场调研指导并</w:t>
      </w:r>
      <w:r>
        <w:rPr>
          <w:rFonts w:ascii="FangSong" w:hAnsi="FangSong" w:eastAsia="FangSong" w:cs="FangSong"/>
          <w:sz w:val="31"/>
          <w:szCs w:val="31"/>
          <w:spacing w:val="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4"/>
        </w:rPr>
        <w:t>给予高度肯定。广益社区安化记忆馆正式开馆，大溶溪社区溯溪</w:t>
      </w:r>
      <w:r>
        <w:rPr>
          <w:rFonts w:ascii="FangSong" w:hAnsi="FangSong" w:eastAsia="FangSong" w:cs="FangSong"/>
          <w:sz w:val="31"/>
          <w:szCs w:val="31"/>
          <w:spacing w:val="1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6"/>
        </w:rPr>
        <w:t>游暑期日接待游客超500人次，唐溪茶场旅游年收入近</w:t>
      </w:r>
      <w:r>
        <w:rPr>
          <w:rFonts w:ascii="FangSong" w:hAnsi="FangSong" w:eastAsia="FangSong" w:cs="FangSong"/>
          <w:sz w:val="31"/>
          <w:szCs w:val="31"/>
          <w:spacing w:val="-7"/>
        </w:rPr>
        <w:t>2000万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3"/>
        </w:rPr>
        <w:t>元。</w:t>
      </w:r>
    </w:p>
    <w:p>
      <w:pPr>
        <w:ind w:left="175" w:right="1537" w:firstLine="709"/>
        <w:spacing w:before="154" w:line="278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15"/>
        </w:rPr>
        <w:t>(四)在志愿服务助推基层治理工作上深入探索，活动开展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2"/>
        </w:rPr>
        <w:t>有声有色，基层治理经验广受认可。“爱在</w:t>
      </w:r>
      <w:r>
        <w:rPr>
          <w:rFonts w:ascii="FangSong" w:hAnsi="FangSong" w:eastAsia="FangSong" w:cs="FangSong"/>
          <w:sz w:val="31"/>
          <w:szCs w:val="31"/>
          <w:spacing w:val="-23"/>
        </w:rPr>
        <w:t>柘溪”志愿服务获中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2"/>
        </w:rPr>
        <w:t>社部肯定，以志愿服务助推基层治理柘溪经验先后在全省城乡社</w:t>
      </w:r>
      <w:r>
        <w:rPr>
          <w:rFonts w:ascii="FangSong" w:hAnsi="FangSong" w:eastAsia="FangSong" w:cs="FangSong"/>
          <w:sz w:val="31"/>
          <w:szCs w:val="31"/>
          <w:spacing w:val="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3"/>
        </w:rPr>
        <w:t>区“领头雁”示范培训班，全市乡镇长、街道办主</w:t>
      </w:r>
      <w:r>
        <w:rPr>
          <w:rFonts w:ascii="FangSong" w:hAnsi="FangSong" w:eastAsia="FangSong" w:cs="FangSong"/>
          <w:sz w:val="31"/>
          <w:szCs w:val="31"/>
          <w:spacing w:val="-24"/>
        </w:rPr>
        <w:t>任履职能力提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1"/>
        </w:rPr>
        <w:t>升班上作经验分享。</w:t>
      </w:r>
    </w:p>
    <w:p>
      <w:pPr>
        <w:ind w:left="745"/>
        <w:spacing w:before="204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8"/>
        </w:rPr>
        <w:t>七、存在的主要问题及原因分析</w:t>
      </w:r>
    </w:p>
    <w:p>
      <w:pPr>
        <w:ind w:left="175" w:right="1766" w:firstLine="599"/>
        <w:spacing w:before="202" w:line="333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31"/>
        </w:rPr>
        <w:t>一是财政收支不平衡，运转困难的问题没有得到根本性解</w:t>
      </w:r>
      <w:r>
        <w:rPr>
          <w:rFonts w:ascii="FangSong" w:hAnsi="FangSong" w:eastAsia="FangSong" w:cs="FangSong"/>
          <w:sz w:val="32"/>
          <w:szCs w:val="32"/>
          <w:spacing w:val="1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8"/>
        </w:rPr>
        <w:t>决。</w:t>
      </w:r>
    </w:p>
    <w:p>
      <w:pPr>
        <w:ind w:left="175" w:right="1538" w:firstLine="609"/>
        <w:spacing w:before="4" w:line="335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33"/>
        </w:rPr>
        <w:t>二是绩效目标设立不够明确、细化和量化。项目单位</w:t>
      </w:r>
      <w:r>
        <w:rPr>
          <w:rFonts w:ascii="FangSong" w:hAnsi="FangSong" w:eastAsia="FangSong" w:cs="FangSong"/>
          <w:sz w:val="32"/>
          <w:szCs w:val="32"/>
          <w:spacing w:val="-34"/>
        </w:rPr>
        <w:t>虽然设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1"/>
        </w:rPr>
        <w:t>立了项目资金绩效目标，但目标不够明确、细化</w:t>
      </w:r>
      <w:r>
        <w:rPr>
          <w:rFonts w:ascii="FangSong" w:hAnsi="FangSong" w:eastAsia="FangSong" w:cs="FangSong"/>
          <w:sz w:val="32"/>
          <w:szCs w:val="32"/>
          <w:spacing w:val="-32"/>
        </w:rPr>
        <w:t>和量化。</w:t>
      </w:r>
    </w:p>
    <w:p>
      <w:pPr>
        <w:pStyle w:val="BodyText"/>
        <w:spacing w:line="268" w:lineRule="auto"/>
        <w:rPr/>
      </w:pPr>
      <w:r/>
    </w:p>
    <w:p>
      <w:pPr>
        <w:ind w:left="515"/>
        <w:spacing w:before="82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spacing w:val="-3"/>
        </w:rPr>
        <w:t>—6—</w:t>
      </w:r>
    </w:p>
    <w:p>
      <w:pPr>
        <w:sectPr>
          <w:footerReference w:type="default" r:id="rId8"/>
          <w:pgSz w:w="11900" w:h="16840"/>
          <w:pgMar w:top="1431" w:right="330" w:bottom="819" w:left="1785" w:header="0" w:footer="200" w:gutter="0"/>
        </w:sectPr>
        <w:rPr>
          <w:rFonts w:ascii="SimSun" w:hAnsi="SimSun" w:eastAsia="SimSun" w:cs="SimSun"/>
          <w:sz w:val="25"/>
          <w:szCs w:val="25"/>
        </w:rPr>
      </w:pPr>
    </w:p>
    <w:p>
      <w:pPr>
        <w:ind w:left="815"/>
        <w:spacing w:before="58" w:line="222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10"/>
        </w:rPr>
        <w:t>八、下一步改进措施</w:t>
      </w:r>
    </w:p>
    <w:p>
      <w:pPr>
        <w:ind w:left="815"/>
        <w:spacing w:before="169" w:line="21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4"/>
        </w:rPr>
        <w:t>针对上述存在的问题，拟采取以下改进措施：</w:t>
      </w:r>
    </w:p>
    <w:p>
      <w:pPr>
        <w:ind w:left="885"/>
        <w:spacing w:before="188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4"/>
        </w:rPr>
        <w:t>一是积极向上争取资金，同时努力培植财源。</w:t>
      </w:r>
    </w:p>
    <w:p>
      <w:pPr>
        <w:ind w:left="275" w:right="1438" w:firstLine="540"/>
        <w:spacing w:before="164" w:line="343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1"/>
        </w:rPr>
        <w:t>二是在编制项目资金绩效目标时要求指向明确、细化量化、</w:t>
      </w:r>
      <w:r>
        <w:rPr>
          <w:rFonts w:ascii="FangSong" w:hAnsi="FangSong" w:eastAsia="FangSong" w:cs="FangSong"/>
          <w:sz w:val="30"/>
          <w:szCs w:val="30"/>
          <w:spacing w:val="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3"/>
        </w:rPr>
        <w:t>合理可行、相应匹配。</w:t>
      </w:r>
    </w:p>
    <w:p>
      <w:pPr>
        <w:ind w:left="815" w:right="4307"/>
        <w:spacing w:before="3" w:line="26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10"/>
        </w:rPr>
        <w:t>九、绩效自评结果拟应用和公开情况</w:t>
      </w:r>
      <w:r>
        <w:rPr>
          <w:rFonts w:ascii="SimHei" w:hAnsi="SimHei" w:eastAsia="SimHei" w:cs="SimHei"/>
          <w:sz w:val="30"/>
          <w:szCs w:val="30"/>
          <w:spacing w:val="1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5"/>
        </w:rPr>
        <w:t>暂未公开。</w:t>
      </w:r>
    </w:p>
    <w:p>
      <w:pPr>
        <w:ind w:left="815" w:right="5747"/>
        <w:spacing w:before="247" w:line="285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0"/>
          <w:szCs w:val="30"/>
          <w:spacing w:val="-9"/>
        </w:rPr>
        <w:t>十、其他需要说明的情况</w:t>
      </w:r>
      <w:r>
        <w:rPr>
          <w:rFonts w:ascii="SimHei" w:hAnsi="SimHei" w:eastAsia="SimHei" w:cs="SimHei"/>
          <w:sz w:val="30"/>
          <w:szCs w:val="30"/>
          <w:spacing w:val="9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6"/>
        </w:rPr>
        <w:t>无。</w:t>
      </w:r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ind w:left="7174"/>
        <w:spacing w:before="81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spacing w:val="-3"/>
        </w:rPr>
        <w:t>—7—</w:t>
      </w:r>
    </w:p>
    <w:sectPr>
      <w:footerReference w:type="default" r:id="rId9"/>
      <w:pgSz w:w="11900" w:h="16840"/>
      <w:pgMar w:top="1431" w:right="340" w:bottom="819" w:left="1785" w:header="0" w:footer="20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39" w:after="62"/>
      <w:jc w:val="right"/>
      <w:rPr>
        <w:rFonts w:ascii="SimHei" w:hAnsi="SimHei" w:eastAsia="SimHei" w:cs="SimHei"/>
        <w:sz w:val="19"/>
        <w:szCs w:val="19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6032505</wp:posOffset>
          </wp:positionH>
          <wp:positionV relativeFrom="page">
            <wp:posOffset>10172738</wp:posOffset>
          </wp:positionV>
          <wp:extent cx="393693" cy="393624"/>
          <wp:effectExtent l="0" t="0" r="0" b="0"/>
          <wp:wrapNone/>
          <wp:docPr id="8" name="IM 8"/>
          <wp:cNvGraphicFramePr/>
          <a:graphic>
            <a:graphicData uri="http://schemas.openxmlformats.org/drawingml/2006/picture">
              <pic:pic>
                <pic:nvPicPr>
                  <pic:cNvPr id="8" name="IM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393693" cy="3936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Hei" w:hAnsi="SimHei" w:eastAsia="SimHei" w:cs="SimHei"/>
        <w:sz w:val="19"/>
        <w:szCs w:val="19"/>
        <w:color w:val="303050"/>
        <w:position w:val="-8"/>
      </w:rPr>
      <w:drawing>
        <wp:inline distT="0" distB="0" distL="0" distR="0">
          <wp:extent cx="222236" cy="215899"/>
          <wp:effectExtent l="0" t="0" r="0" b="0"/>
          <wp:docPr id="10" name="IM 10"/>
          <wp:cNvGraphicFramePr/>
          <a:graphic>
            <a:graphicData uri="http://schemas.openxmlformats.org/drawingml/2006/picture">
              <pic:pic>
                <pic:nvPicPr>
                  <pic:cNvPr id="10" name="IM 1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222236" cy="2158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imHei" w:hAnsi="SimHei" w:eastAsia="SimHei" w:cs="SimHei"/>
        <w:sz w:val="19"/>
        <w:szCs w:val="19"/>
        <w:b/>
        <w:bCs/>
        <w:color w:val="303050"/>
        <w:spacing w:val="11"/>
      </w:rPr>
      <w:t>扫描全能王</w:t>
    </w:r>
  </w:p>
  <w:p>
    <w:pPr>
      <w:pStyle w:val="BodyText"/>
      <w:ind w:left="8414"/>
      <w:spacing w:after="41" w:line="212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spacing w:val="22"/>
      </w:rPr>
      <w:t>3亿人都在用的扫描</w:t>
    </w:r>
    <w:r>
      <w:rPr>
        <w:sz w:val="11"/>
        <w:szCs w:val="11"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39" w:after="42"/>
      <w:jc w:val="right"/>
      <w:rPr>
        <w:rFonts w:ascii="SimHei" w:hAnsi="SimHei" w:eastAsia="SimHei" w:cs="SimHei"/>
        <w:sz w:val="19"/>
        <w:szCs w:val="19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6032505</wp:posOffset>
          </wp:positionH>
          <wp:positionV relativeFrom="page">
            <wp:posOffset>10172738</wp:posOffset>
          </wp:positionV>
          <wp:extent cx="393693" cy="393624"/>
          <wp:effectExtent l="0" t="0" r="0" b="0"/>
          <wp:wrapNone/>
          <wp:docPr id="12" name="IM 12"/>
          <wp:cNvGraphicFramePr/>
          <a:graphic>
            <a:graphicData uri="http://schemas.openxmlformats.org/drawingml/2006/picture">
              <pic:pic>
                <pic:nvPicPr>
                  <pic:cNvPr id="12" name="IM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393693" cy="3936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Hei" w:hAnsi="SimHei" w:eastAsia="SimHei" w:cs="SimHei"/>
        <w:sz w:val="19"/>
        <w:szCs w:val="19"/>
        <w:color w:val="304050"/>
        <w:position w:val="-6"/>
      </w:rPr>
      <w:drawing>
        <wp:inline distT="0" distB="0" distL="0" distR="0">
          <wp:extent cx="228584" cy="222315"/>
          <wp:effectExtent l="0" t="0" r="0" b="0"/>
          <wp:docPr id="14" name="IM 14"/>
          <wp:cNvGraphicFramePr/>
          <a:graphic>
            <a:graphicData uri="http://schemas.openxmlformats.org/drawingml/2006/picture">
              <pic:pic>
                <pic:nvPicPr>
                  <pic:cNvPr id="14" name="IM 1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228584" cy="2223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imHei" w:hAnsi="SimHei" w:eastAsia="SimHei" w:cs="SimHei"/>
        <w:sz w:val="19"/>
        <w:szCs w:val="19"/>
        <w:b/>
        <w:bCs/>
        <w:color w:val="304050"/>
        <w:spacing w:val="13"/>
      </w:rPr>
      <w:t>扫描全能王</w:t>
    </w:r>
  </w:p>
  <w:p>
    <w:pPr>
      <w:pStyle w:val="BodyText"/>
      <w:ind w:left="8394"/>
      <w:spacing w:after="51" w:line="212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spacing w:val="23"/>
      </w:rPr>
      <w:t>3亿人都在用的扫描</w:t>
    </w:r>
    <w:r>
      <w:rPr>
        <w:sz w:val="11"/>
        <w:szCs w:val="11"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39" w:after="42"/>
      <w:jc w:val="right"/>
      <w:rPr>
        <w:rFonts w:ascii="SimHei" w:hAnsi="SimHei" w:eastAsia="SimHei" w:cs="SimHei"/>
        <w:sz w:val="19"/>
        <w:szCs w:val="19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6032505</wp:posOffset>
          </wp:positionH>
          <wp:positionV relativeFrom="page">
            <wp:posOffset>10172738</wp:posOffset>
          </wp:positionV>
          <wp:extent cx="393693" cy="393624"/>
          <wp:effectExtent l="0" t="0" r="0" b="0"/>
          <wp:wrapNone/>
          <wp:docPr id="16" name="IM 16"/>
          <wp:cNvGraphicFramePr/>
          <a:graphic>
            <a:graphicData uri="http://schemas.openxmlformats.org/drawingml/2006/picture">
              <pic:pic>
                <pic:nvPicPr>
                  <pic:cNvPr id="16" name="IM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393693" cy="3936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Hei" w:hAnsi="SimHei" w:eastAsia="SimHei" w:cs="SimHei"/>
        <w:sz w:val="19"/>
        <w:szCs w:val="19"/>
        <w:position w:val="-7"/>
      </w:rPr>
      <w:drawing>
        <wp:inline distT="0" distB="0" distL="0" distR="0">
          <wp:extent cx="222236" cy="222315"/>
          <wp:effectExtent l="0" t="0" r="0" b="0"/>
          <wp:docPr id="18" name="IM 18"/>
          <wp:cNvGraphicFramePr/>
          <a:graphic>
            <a:graphicData uri="http://schemas.openxmlformats.org/drawingml/2006/picture">
              <pic:pic>
                <pic:nvPicPr>
                  <pic:cNvPr id="18" name="IM 1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222236" cy="2223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imHei" w:hAnsi="SimHei" w:eastAsia="SimHei" w:cs="SimHei"/>
        <w:sz w:val="19"/>
        <w:szCs w:val="19"/>
        <w:b/>
        <w:bCs/>
        <w:spacing w:val="13"/>
      </w:rPr>
      <w:t>扫描全能王</w:t>
    </w:r>
  </w:p>
  <w:p>
    <w:pPr>
      <w:pStyle w:val="BodyText"/>
      <w:ind w:left="8394"/>
      <w:spacing w:after="51" w:line="212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spacing w:val="23"/>
      </w:rPr>
      <w:t>3亿人都在用的扫描</w:t>
    </w:r>
    <w:r>
      <w:rPr>
        <w:sz w:val="11"/>
        <w:szCs w:val="11"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39" w:after="42"/>
      <w:jc w:val="right"/>
      <w:rPr>
        <w:rFonts w:ascii="SimHei" w:hAnsi="SimHei" w:eastAsia="SimHei" w:cs="SimHei"/>
        <w:sz w:val="19"/>
        <w:szCs w:val="19"/>
      </w:rPr>
    </w:pP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6032505</wp:posOffset>
          </wp:positionH>
          <wp:positionV relativeFrom="page">
            <wp:posOffset>10172738</wp:posOffset>
          </wp:positionV>
          <wp:extent cx="393693" cy="393624"/>
          <wp:effectExtent l="0" t="0" r="0" b="0"/>
          <wp:wrapNone/>
          <wp:docPr id="20" name="IM 20"/>
          <wp:cNvGraphicFramePr/>
          <a:graphic>
            <a:graphicData uri="http://schemas.openxmlformats.org/drawingml/2006/picture">
              <pic:pic>
                <pic:nvPicPr>
                  <pic:cNvPr id="20" name="IM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393693" cy="3936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Hei" w:hAnsi="SimHei" w:eastAsia="SimHei" w:cs="SimHei"/>
        <w:sz w:val="19"/>
        <w:szCs w:val="19"/>
        <w:color w:val="304050"/>
        <w:position w:val="-6"/>
      </w:rPr>
      <w:drawing>
        <wp:inline distT="0" distB="0" distL="0" distR="0">
          <wp:extent cx="228584" cy="222315"/>
          <wp:effectExtent l="0" t="0" r="0" b="0"/>
          <wp:docPr id="22" name="IM 22"/>
          <wp:cNvGraphicFramePr/>
          <a:graphic>
            <a:graphicData uri="http://schemas.openxmlformats.org/drawingml/2006/picture">
              <pic:pic>
                <pic:nvPicPr>
                  <pic:cNvPr id="22" name="IM 2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228584" cy="2223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imHei" w:hAnsi="SimHei" w:eastAsia="SimHei" w:cs="SimHei"/>
        <w:sz w:val="19"/>
        <w:szCs w:val="19"/>
        <w:b/>
        <w:bCs/>
        <w:color w:val="304050"/>
        <w:spacing w:val="9"/>
      </w:rPr>
      <w:t>扫描全能王</w:t>
    </w:r>
  </w:p>
  <w:p>
    <w:pPr>
      <w:pStyle w:val="BodyText"/>
      <w:ind w:left="8394"/>
      <w:spacing w:after="51" w:line="212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spacing w:val="23"/>
      </w:rPr>
      <w:t>3亿人都在用的扫描</w:t>
    </w:r>
    <w:r>
      <w:rPr>
        <w:sz w:val="11"/>
        <w:szCs w:val="11"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39" w:after="12"/>
      <w:jc w:val="right"/>
      <w:rPr>
        <w:rFonts w:ascii="SimHei" w:hAnsi="SimHei" w:eastAsia="SimHei" w:cs="SimHei"/>
        <w:sz w:val="19"/>
        <w:szCs w:val="19"/>
      </w:rPr>
    </w:pP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6032505</wp:posOffset>
          </wp:positionH>
          <wp:positionV relativeFrom="page">
            <wp:posOffset>10172738</wp:posOffset>
          </wp:positionV>
          <wp:extent cx="393693" cy="393624"/>
          <wp:effectExtent l="0" t="0" r="0" b="0"/>
          <wp:wrapNone/>
          <wp:docPr id="24" name="IM 24"/>
          <wp:cNvGraphicFramePr/>
          <a:graphic>
            <a:graphicData uri="http://schemas.openxmlformats.org/drawingml/2006/picture">
              <pic:pic>
                <pic:nvPicPr>
                  <pic:cNvPr id="24" name="IM 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393693" cy="3936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Hei" w:hAnsi="SimHei" w:eastAsia="SimHei" w:cs="SimHei"/>
        <w:sz w:val="19"/>
        <w:szCs w:val="19"/>
        <w:color w:val="304050"/>
        <w:position w:val="-9"/>
      </w:rPr>
      <w:drawing>
        <wp:inline distT="0" distB="0" distL="0" distR="0">
          <wp:extent cx="222236" cy="241350"/>
          <wp:effectExtent l="0" t="0" r="0" b="0"/>
          <wp:docPr id="26" name="IM 26"/>
          <wp:cNvGraphicFramePr/>
          <a:graphic>
            <a:graphicData uri="http://schemas.openxmlformats.org/drawingml/2006/picture">
              <pic:pic>
                <pic:nvPicPr>
                  <pic:cNvPr id="26" name="IM 26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222236" cy="241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imHei" w:hAnsi="SimHei" w:eastAsia="SimHei" w:cs="SimHei"/>
        <w:sz w:val="19"/>
        <w:szCs w:val="19"/>
        <w:b/>
        <w:bCs/>
        <w:color w:val="304050"/>
        <w:spacing w:val="13"/>
      </w:rPr>
      <w:t>扫描全能王</w:t>
    </w:r>
  </w:p>
  <w:p>
    <w:pPr>
      <w:pStyle w:val="BodyText"/>
      <w:ind w:left="8394"/>
      <w:spacing w:after="51" w:line="212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spacing w:val="23"/>
      </w:rPr>
      <w:t>3亿人都在用的扫描</w:t>
    </w:r>
    <w:r>
      <w:rPr>
        <w:sz w:val="11"/>
        <w:szCs w:val="11"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39" w:after="12"/>
      <w:jc w:val="right"/>
      <w:rPr>
        <w:rFonts w:ascii="SimHei" w:hAnsi="SimHei" w:eastAsia="SimHei" w:cs="SimHei"/>
        <w:sz w:val="19"/>
        <w:szCs w:val="19"/>
      </w:rPr>
    </w:pPr>
    <w:r>
      <w:drawing>
        <wp:anchor distT="0" distB="0" distL="0" distR="0" simplePos="0" relativeHeight="251663360" behindDoc="0" locked="0" layoutInCell="0" allowOverlap="1">
          <wp:simplePos x="0" y="0"/>
          <wp:positionH relativeFrom="page">
            <wp:posOffset>6032505</wp:posOffset>
          </wp:positionH>
          <wp:positionV relativeFrom="page">
            <wp:posOffset>10172738</wp:posOffset>
          </wp:positionV>
          <wp:extent cx="393693" cy="393624"/>
          <wp:effectExtent l="0" t="0" r="0" b="0"/>
          <wp:wrapNone/>
          <wp:docPr id="28" name="IM 28"/>
          <wp:cNvGraphicFramePr/>
          <a:graphic>
            <a:graphicData uri="http://schemas.openxmlformats.org/drawingml/2006/picture">
              <pic:pic>
                <pic:nvPicPr>
                  <pic:cNvPr id="28" name="IM 2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393693" cy="3936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Hei" w:hAnsi="SimHei" w:eastAsia="SimHei" w:cs="SimHei"/>
        <w:sz w:val="19"/>
        <w:szCs w:val="19"/>
        <w:color w:val="304050"/>
        <w:position w:val="-9"/>
      </w:rPr>
      <w:drawing>
        <wp:inline distT="0" distB="0" distL="0" distR="0">
          <wp:extent cx="222236" cy="241350"/>
          <wp:effectExtent l="0" t="0" r="0" b="0"/>
          <wp:docPr id="30" name="IM 30"/>
          <wp:cNvGraphicFramePr/>
          <a:graphic>
            <a:graphicData uri="http://schemas.openxmlformats.org/drawingml/2006/picture">
              <pic:pic>
                <pic:nvPicPr>
                  <pic:cNvPr id="30" name="IM 3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222236" cy="241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imHei" w:hAnsi="SimHei" w:eastAsia="SimHei" w:cs="SimHei"/>
        <w:sz w:val="19"/>
        <w:szCs w:val="19"/>
        <w:b/>
        <w:bCs/>
        <w:color w:val="304050"/>
        <w:spacing w:val="11"/>
      </w:rPr>
      <w:t>扫描全能王</w:t>
    </w:r>
  </w:p>
  <w:p>
    <w:pPr>
      <w:pStyle w:val="BodyText"/>
      <w:ind w:left="8414"/>
      <w:spacing w:after="51" w:line="212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spacing w:val="22"/>
      </w:rPr>
      <w:t>3亿人都在用的扫描</w:t>
    </w:r>
    <w:r>
      <w:rPr>
        <w:sz w:val="11"/>
        <w:szCs w:val="11"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2" Type="http://schemas.openxmlformats.org/officeDocument/2006/relationships/fontTable" Target="fontTable.xml"/><Relationship Id="rId11" Type="http://schemas.openxmlformats.org/officeDocument/2006/relationships/styles" Target="styles.xml"/><Relationship Id="rId10" Type="http://schemas.openxmlformats.org/officeDocument/2006/relationships/settings" Target="settings.xml"/><Relationship Id="rId1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4.jpe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8.jpeg"/><Relationship Id="rId1" Type="http://schemas.openxmlformats.org/officeDocument/2006/relationships/image" Target="media/image4.jpeg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9.jpeg"/><Relationship Id="rId1" Type="http://schemas.openxmlformats.org/officeDocument/2006/relationships/image" Target="media/image4.jpeg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4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2026-06-18T09:17:42Z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2026-06-18T09:17:42</vt:filetime>
  </property>
  <property fmtid="{D5CDD505-2E9C-101B-9397-08002B2CF9AE}" pid="4" name="UsrData">
    <vt:lpwstr>6a3347338f49bf001fe095a3wl</vt:lpwstr>
  </property>
</Properties>
</file>