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04DF85FF">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2025年度安化县城南区事务中心</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2"/>
      </w:pPr>
    </w:p>
    <w:p w14:paraId="311F1E4D">
      <w:pPr>
        <w:widowControl/>
        <w:ind w:firstLine="361" w:firstLineChars="100"/>
        <w:rPr>
          <w:rFonts w:hint="eastAsia" w:ascii="楷体" w:hAnsi="楷体" w:eastAsia="楷体" w:cs="楷体"/>
          <w:b/>
          <w:bCs/>
          <w:kern w:val="0"/>
          <w:sz w:val="36"/>
          <w:szCs w:val="36"/>
        </w:rPr>
      </w:pPr>
    </w:p>
    <w:p w14:paraId="70454183">
      <w:pPr>
        <w:widowControl/>
        <w:jc w:val="center"/>
        <w:rPr>
          <w:rFonts w:hint="eastAsia" w:ascii="黑体" w:hAnsi="黑体" w:eastAsia="黑体" w:cs="黑体"/>
          <w:b w:val="0"/>
          <w:bCs w:val="0"/>
          <w:kern w:val="0"/>
          <w:sz w:val="48"/>
          <w:szCs w:val="48"/>
          <w:u w:val="single"/>
          <w:lang w:eastAsia="zh-CN"/>
        </w:rPr>
      </w:pPr>
      <w:r>
        <w:rPr>
          <w:rFonts w:hint="eastAsia" w:ascii="黑体" w:hAnsi="黑体" w:eastAsia="黑体" w:cs="黑体"/>
          <w:b w:val="0"/>
          <w:bCs w:val="0"/>
          <w:kern w:val="0"/>
          <w:sz w:val="36"/>
          <w:szCs w:val="36"/>
          <w:lang w:eastAsia="zh-CN"/>
        </w:rPr>
        <w:t>安化县城南区事务中心</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月</w:t>
      </w:r>
      <w:r>
        <w:rPr>
          <w:rFonts w:hint="eastAsia" w:ascii="黑体" w:hAnsi="黑体" w:eastAsia="黑体" w:cs="黑体"/>
          <w:b w:val="0"/>
          <w:bCs w:val="0"/>
          <w:kern w:val="0"/>
          <w:sz w:val="36"/>
          <w:szCs w:val="36"/>
          <w:lang w:val="en-US" w:eastAsia="zh-CN"/>
        </w:rPr>
        <w:t>7</w:t>
      </w:r>
      <w:r>
        <w:rPr>
          <w:rFonts w:hint="eastAsia" w:ascii="黑体" w:hAnsi="黑体" w:eastAsia="黑体" w:cs="黑体"/>
          <w:b w:val="0"/>
          <w:bCs w:val="0"/>
          <w:kern w:val="0"/>
          <w:sz w:val="36"/>
          <w:szCs w:val="36"/>
        </w:rPr>
        <w:t>日</w:t>
      </w:r>
    </w:p>
    <w:p w14:paraId="7186672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14:paraId="1BF26E83">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安化县城南区事务中心</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6C2113E6">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（1）社会保障落实：做好城乡居民医保参保缴费，确保参保率稳定在 95% 以上；落实低保、特困供养、残疾人补贴等，保障困难群众基本生活。</w:t>
      </w:r>
    </w:p>
    <w:p w14:paraId="02BAB290">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（2）依法和谐征拆：严格执行补偿标准，规范流程；强化政策宣讲与矛盾化解，维护征拆秩序，保障群众合法权益。</w:t>
      </w:r>
    </w:p>
    <w:p w14:paraId="070EB933">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（3）安置区建设：推进安置房建设及不动产权确权登记；完善安置区水、电、路、燃气等配套，确保拆迁户 “住得稳、住得好”。</w:t>
      </w:r>
    </w:p>
    <w:p w14:paraId="09EC3533">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（4）重点区域征拆：完成紫薇谷、玉溪新城、莲台山民宿等项目约 1000 亩土地征收；拆迁房屋、迁移坟墓，保障项目净地交付。</w:t>
      </w:r>
    </w:p>
    <w:p w14:paraId="34542C00">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（5）招商引资赋能：围绕黑茶加工、文旅康养、现代服务业，精准招商；优化营商环境，保障落地项目建设，增强发展动能。</w:t>
      </w:r>
    </w:p>
    <w:p w14:paraId="1ED39C1A">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（6）作风纪律从严：落实中央八项规定，整治 “四风”；加强廉政教育，筑牢拒腐防线；打造忠诚、干净、担当的干部队伍。</w:t>
      </w:r>
      <w:bookmarkStart w:id="0" w:name="_GoBack"/>
      <w:bookmarkEnd w:id="0"/>
    </w:p>
    <w:p w14:paraId="58188AE7">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（7）能力素质提升：开展政策、业务培训，提升干部项目推进、群众工作、应急处置能力；完善考核激励机制，激发干事活力。</w:t>
      </w:r>
    </w:p>
    <w:p w14:paraId="5ADD0BAC">
      <w:pPr>
        <w:pStyle w:val="6"/>
        <w:shd w:val="clear" w:color="auto" w:fill="FFFFFF"/>
        <w:spacing w:before="0" w:beforeAutospacing="0" w:after="0" w:afterAutospacing="0" w:line="594" w:lineRule="exact"/>
        <w:ind w:firstLine="640" w:firstLineChars="200"/>
        <w:jc w:val="both"/>
        <w:rPr>
          <w:rFonts w:hint="default"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（8）完成县委、县政府交付的其他任务。</w:t>
      </w:r>
    </w:p>
    <w:p w14:paraId="0AB67CC8">
      <w:pPr>
        <w:pStyle w:val="6"/>
        <w:shd w:val="clear" w:color="auto" w:fill="FFFFFF"/>
        <w:spacing w:before="0" w:beforeAutospacing="0" w:after="0" w:afterAutospacing="0" w:line="594" w:lineRule="exact"/>
        <w:ind w:firstLine="640" w:firstLineChars="200"/>
        <w:jc w:val="both"/>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03817F0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3900.07万元，其中财政拨款收入3900.07万元，占总收入的100%，政府性基金拨款0万元，占总收入的0%。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14:paraId="3413C5BF">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从支出方向来看，人员经费主要用于保障单位在岗职工和离退休人员的各项福利待遇发放，保障干部职工的基本待遇；日常公用经费主要用于满足单位日常政务运转、各项常规业务开展的基本开支，保障单位各项工作的正常推进；项目支出主要用于单位承担的片区开发建设、征地拆迁、安置区配套完善、民生保障、招商引资等专项工作开展，以及脱贫攻坚成果巩固、基层党组织建设等专项任务的落实，覆盖了本年度单位所有职能工作的开展需求。整体支出严格按照预算批复的用途安排使用，严格遵循“先预算后支出、无预算不支出的原则，保障了单位职能的正常履行，各项重点工作任务的有序推进。</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1043.82万元，较之去年增加336.83万元，增加比例为11.7%，主要原因为我单位落实国家增资政策。是为保障各部门正常运转、完成日常工作任务而发生的各项支出，主要包括工资福利支出836.96万元，商品和服务支出75.54万元，对个人和家庭支出131.33万元,资本性支出0万元,。</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4万元，比上年减少7.94万元，减少比例为66.5%。其中：因公出国（境）费0万元，公务用车购置费0万元，公务用车运行维护费4万元，公务接待费0万元，较上年同期减少7.94万元，公务接待费用支出减少的主要原因是厉行节约，践行节约理念，实行“零”接待。</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399A4875">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项目支出2856.25万元，包含：片区开发、征地拆迁专项业务开展，含办公耗材、政策宣传印刷、征拆协调差旅、矛盾化解劳务、测绘评估委托业务等开支；社会保障和就业支出，主要用于落实低保、特困供养、残疾人补贴等民生保障政策，发放困难群众各类补助；城乡社区支出，主要用于安置区基础设施配套完善、公共设施维修维护，保障安置区生产生活条件；农林水支出，用于脱贫攻坚成果巩固相关帮扶工作开展；机关党建相关支出，用于开展党员学习教育、组织活动等基层党建专项任务。所有项目支出均严格对应年初预算设定的用途管理使用，重点保障了本年度征地拆迁、安置区建设、民生保障等核心专项工作的资金需求，确保各项重点专项任务顺利推进。</w:t>
      </w:r>
      <w:r>
        <w:rPr>
          <w:rFonts w:hint="eastAsia" w:ascii="Times New Roman" w:hAnsi="Times New Roman" w:eastAsia="仿宋_GB2312" w:cs="Times New Roman"/>
          <w:color w:val="auto"/>
          <w:kern w:val="0"/>
          <w:sz w:val="32"/>
          <w:szCs w:val="32"/>
          <w:lang w:val="en-US" w:eastAsia="zh-CN" w:bidi="ar-SA"/>
        </w:rPr>
        <w:t>。</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eastAsia"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w:t>
      </w:r>
      <w:r>
        <w:rPr>
          <w:rFonts w:hint="eastAsia" w:ascii="仿宋_GB2312" w:eastAsia="仿宋_GB2312" w:cs="仿宋_GB2312"/>
          <w:color w:val="232323"/>
          <w:sz w:val="32"/>
          <w:szCs w:val="32"/>
          <w:shd w:val="clear" w:color="auto" w:fill="FFFFFF"/>
          <w:lang w:val="en-US" w:eastAsia="zh-CN"/>
        </w:rPr>
        <w:t>无</w:t>
      </w:r>
      <w:r>
        <w:rPr>
          <w:rFonts w:hint="eastAsia" w:ascii="仿宋_GB2312" w:eastAsia="仿宋_GB2312" w:cs="仿宋_GB2312"/>
          <w:color w:val="232323"/>
          <w:sz w:val="32"/>
          <w:szCs w:val="32"/>
          <w:shd w:val="clear" w:color="auto" w:fill="FFFFFF"/>
        </w:rPr>
        <w:t>政府性基金支出预算</w:t>
      </w:r>
      <w:r>
        <w:rPr>
          <w:rFonts w:hint="eastAsia" w:ascii="仿宋_GB2312" w:hAnsi="宋体" w:eastAsia="仿宋_GB2312" w:cs="仿宋_GB2312"/>
          <w:color w:val="232323"/>
          <w:sz w:val="32"/>
          <w:szCs w:val="32"/>
          <w:shd w:val="clear" w:color="auto" w:fill="FFFFFF"/>
          <w:lang w:eastAsia="zh-CN"/>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38786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3900.07</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1043.82</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2856.25</w:t>
      </w:r>
      <w:r>
        <w:rPr>
          <w:rFonts w:hint="eastAsia" w:ascii="Times New Roman" w:hAnsi="Times New Roman" w:eastAsia="仿宋_GB2312" w:cs="Times New Roman"/>
          <w:bCs/>
          <w:color w:val="auto"/>
          <w:kern w:val="2"/>
          <w:sz w:val="32"/>
          <w:szCs w:val="32"/>
          <w:highlight w:val="none"/>
          <w:lang w:val="en-US" w:eastAsia="zh-CN" w:bidi="ar-SA"/>
        </w:rPr>
        <w:t>万元。单位通过合理分配资金，优先保障民生政策落地、重点项目推进，本年度所有既定工作目标均顺利完成：社会保障工作落实到位，城乡居民医保参保率稳定达标，低保、特困供养、残疾人补贴等各项福利按时足额发放，困难群众基本生活得到有效保障；征拆工作严格依照政策规范推进，顺利完成紫薇谷、玉溪新城、莲台山民宿等重点项目的土地征收、房屋拆迁及坟墓迁移工作，保障了项目净地交付，妥善化解征拆矛盾，切实维护了群众合法权益；安置区建设有序推进，安置房建设及不动产权确权登记工作按计划完成，水、电、路、燃气等配套设施逐步完善，实现了拆迁群众“住得稳、住得好”的目标；招商引资工作精准发力，围绕黑茶加工、文旅康养、现代服务业成功对接优质项目，营商环境持续优化，为区域发展注入了新动能；干部队伍建设成效显著，通过常态化业务培训、考核激励机制完善以及廉政作风建设，干部综合素质和履职能力得到有效提升，干事创业活力充分激发，县委县政府交办的各项临时性任务也全部按时保质完成。本次整体支出绩效自评为优，资金使用规范高效，有效保障了单位各项职能履行，推动年度工作目标顺利落地。</w:t>
      </w:r>
      <w:r>
        <w:rPr>
          <w:rFonts w:hint="eastAsia" w:ascii="仿宋_GB2312" w:eastAsia="仿宋_GB2312" w:cs="仿宋_GB2312"/>
          <w:color w:val="232323"/>
          <w:sz w:val="32"/>
          <w:szCs w:val="32"/>
          <w:shd w:val="clear" w:color="auto" w:fill="FFFFFF"/>
          <w:lang w:eastAsia="zh-CN"/>
        </w:rPr>
        <w:t>。</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1B8D4D09">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w:t>
      </w:r>
      <w:r>
        <w:rPr>
          <w:rFonts w:hint="default" w:ascii="仿宋_GB2312" w:hAnsi="仿宋" w:eastAsia="仿宋_GB2312" w:cs="Times New Roman"/>
          <w:sz w:val="32"/>
          <w:szCs w:val="32"/>
          <w:lang w:val="en-US" w:eastAsia="zh-CN"/>
        </w:rPr>
        <w:t>部门预算的人员经费和公用经费不足。单位日常运转的刚性支出大，现</w:t>
      </w:r>
      <w:r>
        <w:rPr>
          <w:rFonts w:hint="eastAsia" w:ascii="仿宋_GB2312" w:hAnsi="仿宋" w:eastAsia="仿宋_GB2312" w:cs="Times New Roman"/>
          <w:sz w:val="32"/>
          <w:szCs w:val="32"/>
          <w:lang w:val="en-US" w:eastAsia="zh-CN"/>
        </w:rPr>
        <w:t>有的部门预算资金不能满足日益增长的工作需要。</w:t>
      </w:r>
    </w:p>
    <w:p w14:paraId="41EFF999">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kern w:val="0"/>
          <w:szCs w:val="32"/>
        </w:rPr>
      </w:pPr>
      <w:r>
        <w:rPr>
          <w:rFonts w:hint="eastAsia" w:ascii="仿宋_GB2312" w:hAnsi="仿宋" w:eastAsia="仿宋_GB2312" w:cs="Times New Roman"/>
          <w:sz w:val="32"/>
          <w:szCs w:val="32"/>
          <w:lang w:val="en-US" w:eastAsia="zh-CN"/>
        </w:rPr>
        <w:t>2、</w:t>
      </w:r>
      <w:r>
        <w:rPr>
          <w:rFonts w:hint="eastAsia" w:ascii="Times New Roman" w:hAnsi="Times New Roman" w:eastAsia="仿宋_GB2312" w:cs="Times New Roman"/>
          <w:color w:val="auto"/>
          <w:kern w:val="0"/>
          <w:sz w:val="32"/>
          <w:szCs w:val="32"/>
          <w:lang w:val="en-US" w:eastAsia="zh-CN" w:bidi="ar-SA"/>
        </w:rPr>
        <w:t>由于目前的预算管理在编制和实施中还存在编制不细、预算调整较多、追加预算比重较大等现象，因此预算执行的准确性还存在一定程度上的偏差。</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33625343">
      <w:pPr>
        <w:keepNext w:val="0"/>
        <w:keepLines w:val="0"/>
        <w:widowControl/>
        <w:suppressLineNumbers w:val="0"/>
        <w:ind w:firstLine="640" w:firstLineChars="200"/>
        <w:jc w:val="left"/>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对存在的问题提出切实可行的改进措施和有关建议等。</w:t>
      </w:r>
    </w:p>
    <w:p w14:paraId="25D06EEB">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1、强化预算编制工作，提高预算编制的质量。</w:t>
      </w:r>
    </w:p>
    <w:p w14:paraId="08D106C4">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对年初预算经费不足的情况，进一步加强预算编制管理，公用经费根据单位的年度工作重点和项目专项工作规划，本着“勤俭节约、保障运转”的原则进行编制；编制范围尽可能的全面，不漏项；在预算编制时首先需满足固定性的、相对刚性的费用支出项目，尽量压缩变动性的费用项目；进一步提高预算编制的科学性、合理性、严谨性和可控性。同时会同相关部门解决预算资金缺口问题。</w:t>
      </w:r>
    </w:p>
    <w:p w14:paraId="4CB5D351">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2、对专项资金设定绩效量化目标，强化预算执行动态监控。</w:t>
      </w:r>
    </w:p>
    <w:p w14:paraId="1EBBA086">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绩效目标实行多目标管理，可分为总目标、阶段性目标，尽可能细化、量化。预算管理机构按照预算方案适时跟踪和监督资金投向及预算执行情况，随时把握预算执行进程和均衡性。在项目实施过程中如实际情况发生变化及时调整预算和绩效目标，充分发挥资金的使用效益。</w:t>
      </w:r>
    </w:p>
    <w:p w14:paraId="75B63FE8">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3、建议专款专用。</w:t>
      </w:r>
    </w:p>
    <w:p w14:paraId="175AADF5">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在使用项目资金时，要始终坚持专款专用，按下达的任务和预算，合理、正确的核算和归集项目各项费用，不得超范围使用资金，不得挤占专项资金。</w:t>
      </w:r>
    </w:p>
    <w:p w14:paraId="53A3CC9C">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4、建议加强组织协调，夯实决算工作基础。</w:t>
      </w:r>
    </w:p>
    <w:p w14:paraId="64478CFA">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决算报表的编报口径与单位预算衔接一致，做好预算执行、账户管理、收支清理、会计核算等工作，确保部门决算信息全面完整，建立多层次的决算审核工作机制。</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3"/>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29228E1"/>
    <w:rsid w:val="074B01AA"/>
    <w:rsid w:val="14FF1319"/>
    <w:rsid w:val="1C452960"/>
    <w:rsid w:val="257D691C"/>
    <w:rsid w:val="33053EB2"/>
    <w:rsid w:val="33357B76"/>
    <w:rsid w:val="37FC0FA3"/>
    <w:rsid w:val="38623278"/>
    <w:rsid w:val="53246BC3"/>
    <w:rsid w:val="58057740"/>
    <w:rsid w:val="64B56C4A"/>
    <w:rsid w:val="6D445020"/>
    <w:rsid w:val="720A579D"/>
    <w:rsid w:val="7DCF3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99"/>
    <w:pPr>
      <w:spacing w:beforeLines="0" w:afterLines="0"/>
    </w:pPr>
    <w:rPr>
      <w:rFonts w:hint="default"/>
      <w:sz w:val="21"/>
      <w:szCs w:val="24"/>
    </w:rPr>
  </w:style>
  <w:style w:type="paragraph" w:styleId="3">
    <w:name w:val="Body Text"/>
    <w:basedOn w:val="1"/>
    <w:unhideWhenUsed/>
    <w:qFormat/>
    <w:uiPriority w:val="99"/>
    <w:rPr>
      <w:rFonts w:ascii="Times New Roman" w:hAnsi="Times New Roman"/>
    </w:rPr>
  </w:style>
  <w:style w:type="paragraph" w:styleId="4">
    <w:name w:val="Body Text Indent"/>
    <w:basedOn w:val="1"/>
    <w:qFormat/>
    <w:uiPriority w:val="99"/>
    <w:pPr>
      <w:ind w:firstLine="640" w:firstLineChars="200"/>
    </w:pPr>
    <w:rPr>
      <w:sz w:val="32"/>
      <w:szCs w:val="32"/>
    </w:rPr>
  </w:style>
  <w:style w:type="paragraph" w:styleId="5">
    <w:name w:val="toc 5"/>
    <w:basedOn w:val="1"/>
    <w:next w:val="1"/>
    <w:unhideWhenUsed/>
    <w:qFormat/>
    <w:uiPriority w:val="39"/>
    <w:pPr>
      <w:ind w:left="1680" w:leftChars="800"/>
    </w:pPr>
    <w:rPr>
      <w:rFonts w:ascii="等线" w:hAnsi="等线" w:eastAsia="等线" w:cs="Times New Roman"/>
      <w:szCs w:val="22"/>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4"/>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3044</Words>
  <Characters>3159</Characters>
  <Lines>0</Lines>
  <Paragraphs>0</Paragraphs>
  <TotalTime>169</TotalTime>
  <ScaleCrop>false</ScaleCrop>
  <LinksUpToDate>false</LinksUpToDate>
  <CharactersWithSpaces>3166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绿茵岁月&amp;</cp:lastModifiedBy>
  <dcterms:modified xsi:type="dcterms:W3CDTF">2026-09-24T07:28:09Z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320EE6CF27CA43C685765159035C156B_13</vt:lpwstr>
  </property>
  <property fmtid="{D5CDD505-2E9C-101B-9397-08002B2CF9AE}" pid="4" name="KSOTemplateDocerSaveRecord">
    <vt:lpwstr>eyJoZGlkIjoiMzJiNmU1N2QwNzIyNDczNmY1Y2VmMzkxMjA4OWI2NzAiLCJ1c2VySWQiOiI4NTk1NDUyMTcifQ==</vt:lpwstr>
  </property>
</Properties>
</file>