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DF7D4A">
      <w:pPr>
        <w:bidi w:val="0"/>
        <w:jc w:val="left"/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附件</w:t>
      </w:r>
      <w:r>
        <w:rPr>
          <w:rFonts w:ascii="黑体" w:hAnsi="黑体" w:eastAsia="黑体" w:cs="仿宋"/>
          <w:sz w:val="32"/>
          <w:szCs w:val="32"/>
        </w:rPr>
        <w:t>1</w:t>
      </w:r>
    </w:p>
    <w:p w14:paraId="4A89C288">
      <w:pPr>
        <w:widowControl/>
        <w:spacing w:line="600" w:lineRule="exact"/>
        <w:jc w:val="center"/>
        <w:rPr>
          <w:rFonts w:hint="eastAsia" w:ascii="微软雅黑" w:hAnsi="微软雅黑" w:eastAsia="微软雅黑" w:cs="微软雅黑"/>
          <w:kern w:val="0"/>
          <w:sz w:val="44"/>
          <w:szCs w:val="44"/>
        </w:rPr>
      </w:pPr>
      <w:r>
        <w:rPr>
          <w:rFonts w:hint="eastAsia" w:ascii="微软雅黑" w:hAnsi="微软雅黑" w:eastAsia="微软雅黑" w:cs="微软雅黑"/>
          <w:kern w:val="0"/>
          <w:sz w:val="44"/>
          <w:szCs w:val="44"/>
          <w:lang w:eastAsia="zh-CN"/>
        </w:rPr>
        <w:t>202</w:t>
      </w:r>
      <w:r>
        <w:rPr>
          <w:rFonts w:hint="eastAsia" w:ascii="微软雅黑" w:hAnsi="微软雅黑" w:eastAsia="微软雅黑" w:cs="微软雅黑"/>
          <w:kern w:val="0"/>
          <w:sz w:val="44"/>
          <w:szCs w:val="44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kern w:val="0"/>
          <w:sz w:val="44"/>
          <w:szCs w:val="44"/>
        </w:rPr>
        <w:t>年度部门整体支出绩效评价基础数据表</w:t>
      </w:r>
    </w:p>
    <w:tbl>
      <w:tblPr>
        <w:tblStyle w:val="11"/>
        <w:tblW w:w="961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0"/>
        <w:gridCol w:w="1125"/>
        <w:gridCol w:w="1140"/>
        <w:gridCol w:w="990"/>
        <w:gridCol w:w="1095"/>
        <w:gridCol w:w="1110"/>
        <w:gridCol w:w="1155"/>
      </w:tblGrid>
      <w:tr w14:paraId="4CBDD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FEAAE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财政供养人员情况（人）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00028">
            <w:pPr>
              <w:widowControl/>
              <w:jc w:val="center"/>
              <w:rPr>
                <w:rFonts w:eastAsia="Times New Roman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编制数</w:t>
            </w: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2820E">
            <w:pPr>
              <w:widowControl/>
              <w:jc w:val="center"/>
              <w:rPr>
                <w:rFonts w:eastAsia="Times New Roman"/>
                <w:b/>
                <w:bCs/>
                <w:kern w:val="0"/>
                <w:szCs w:val="21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  <w:lang w:eastAsia="zh-CN"/>
              </w:rPr>
              <w:t>2025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年实际在职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  <w:t>人数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数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92C71">
            <w:pPr>
              <w:widowControl/>
              <w:jc w:val="center"/>
              <w:rPr>
                <w:rFonts w:eastAsia="Times New Roman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控制率</w:t>
            </w:r>
          </w:p>
        </w:tc>
      </w:tr>
      <w:tr w14:paraId="1050A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F55D2">
            <w:pPr>
              <w:widowControl/>
              <w:jc w:val="left"/>
              <w:rPr>
                <w:rFonts w:eastAsia="Times New Roman"/>
                <w:kern w:val="0"/>
                <w:szCs w:val="21"/>
              </w:rPr>
            </w:pP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88763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38</w:t>
            </w: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BE898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38</w:t>
            </w: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72184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100%</w:t>
            </w: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030EF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72F05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经费控制情况（万元）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F60BA20">
            <w:pPr>
              <w:widowControl/>
              <w:jc w:val="center"/>
              <w:rPr>
                <w:rFonts w:eastAsia="Times New Roman"/>
                <w:b/>
                <w:bCs/>
                <w:kern w:val="0"/>
                <w:szCs w:val="21"/>
              </w:rPr>
            </w:pPr>
            <w:r>
              <w:rPr>
                <w:rFonts w:hint="eastAsia"/>
                <w:b/>
                <w:bCs/>
                <w:kern w:val="0"/>
                <w:szCs w:val="21"/>
                <w:lang w:eastAsia="zh-CN"/>
              </w:rPr>
              <w:t>2024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年决算数</w:t>
            </w: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83C0976">
            <w:pPr>
              <w:widowControl/>
              <w:jc w:val="center"/>
              <w:rPr>
                <w:rFonts w:eastAsia="Times New Roman"/>
                <w:b/>
                <w:bCs/>
                <w:kern w:val="0"/>
                <w:szCs w:val="21"/>
              </w:rPr>
            </w:pPr>
            <w:r>
              <w:rPr>
                <w:rFonts w:hint="eastAsia"/>
                <w:b/>
                <w:bCs/>
                <w:kern w:val="0"/>
                <w:szCs w:val="21"/>
                <w:lang w:eastAsia="zh-CN"/>
              </w:rPr>
              <w:t>2025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年预算数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D43B801">
            <w:pPr>
              <w:widowControl/>
              <w:jc w:val="center"/>
              <w:rPr>
                <w:rFonts w:eastAsia="Times New Roman"/>
                <w:b/>
                <w:bCs/>
                <w:kern w:val="0"/>
                <w:szCs w:val="21"/>
              </w:rPr>
            </w:pPr>
            <w:r>
              <w:rPr>
                <w:rFonts w:hint="eastAsia"/>
                <w:b/>
                <w:bCs/>
                <w:kern w:val="0"/>
                <w:szCs w:val="21"/>
                <w:lang w:eastAsia="zh-CN"/>
              </w:rPr>
              <w:t>2025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年决算数</w:t>
            </w:r>
          </w:p>
        </w:tc>
      </w:tr>
      <w:tr w14:paraId="2C677A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B5FDB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三公经费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89E59A9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8.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81</w:t>
            </w: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4EE60FA">
            <w:pPr>
              <w:widowControl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ACC5951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30403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05E34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eastAsia="Times New Roman"/>
                <w:kern w:val="0"/>
                <w:szCs w:val="21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、公务用车购置和维护经费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227DAAE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23359F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C7C28B8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488A17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B1013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其中：公车购置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8AA7975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74C18C1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2157CA4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4871B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0CD0A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公车运行维护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4EA9CEF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AB07963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DD4D9B2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6FCE0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6A623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eastAsia="Times New Roman"/>
                <w:kern w:val="0"/>
                <w:szCs w:val="21"/>
              </w:rPr>
              <w:t>2</w:t>
            </w:r>
            <w:r>
              <w:rPr>
                <w:rFonts w:hint="eastAsia" w:ascii="宋体" w:hAnsi="宋体" w:cs="宋体"/>
                <w:kern w:val="0"/>
                <w:szCs w:val="21"/>
              </w:rPr>
              <w:t>、出国经费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6A6F286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B7E061B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893B3A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00C6DF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F8A4A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eastAsia="Times New Roman"/>
                <w:kern w:val="0"/>
                <w:szCs w:val="21"/>
              </w:rPr>
              <w:t>3</w:t>
            </w:r>
            <w:r>
              <w:rPr>
                <w:rFonts w:hint="eastAsia" w:ascii="宋体" w:hAnsi="宋体" w:cs="宋体"/>
                <w:kern w:val="0"/>
                <w:szCs w:val="21"/>
              </w:rPr>
              <w:t>、公务接待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3B14C30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C729093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8F0780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2E9FF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0B4B5">
            <w:pPr>
              <w:widowControl/>
              <w:jc w:val="center"/>
              <w:rPr>
                <w:rFonts w:hint="eastAsia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项目支出：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（一个专项一行）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EE12DB0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9F0FE2F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788E9E8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30747E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CEF5C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eastAsia="Times New Roman"/>
                <w:kern w:val="0"/>
                <w:szCs w:val="21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、业务工作经费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0B073C2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E24973A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501DF03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7243C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50D3C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eastAsia="Times New Roman"/>
                <w:kern w:val="0"/>
                <w:szCs w:val="21"/>
              </w:rPr>
              <w:t>2</w:t>
            </w:r>
            <w:r>
              <w:rPr>
                <w:rFonts w:hint="eastAsia" w:ascii="宋体" w:hAnsi="宋体" w:cs="宋体"/>
                <w:kern w:val="0"/>
                <w:szCs w:val="21"/>
              </w:rPr>
              <w:t>、运行维护经费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5D1E164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F7693FD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C40A1D7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</w:p>
        </w:tc>
      </w:tr>
      <w:tr w14:paraId="3345F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05768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eastAsia="Times New Roman"/>
                <w:kern w:val="0"/>
                <w:szCs w:val="21"/>
              </w:rPr>
              <w:t>3</w:t>
            </w:r>
            <w:r>
              <w:rPr>
                <w:rFonts w:hint="eastAsia" w:ascii="宋体" w:hAnsi="宋体" w:cs="宋体"/>
                <w:kern w:val="0"/>
                <w:szCs w:val="21"/>
              </w:rPr>
              <w:t>、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县</w:t>
            </w:r>
            <w:r>
              <w:rPr>
                <w:rFonts w:hint="eastAsia" w:ascii="宋体" w:hAnsi="宋体" w:cs="宋体"/>
                <w:kern w:val="0"/>
                <w:szCs w:val="21"/>
              </w:rPr>
              <w:t>级专项资金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50338D1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9E20EDD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FE094DD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</w:p>
        </w:tc>
      </w:tr>
      <w:tr w14:paraId="55962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11B4C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公用经费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2CB0AED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188.14</w:t>
            </w: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CFA0D28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244.83</w:t>
            </w: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A8294E8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244.83</w:t>
            </w: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329204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87D1F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其中：办公经费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1BDB0B6">
            <w:pPr>
              <w:widowControl/>
              <w:jc w:val="center"/>
              <w:rPr>
                <w:rFonts w:eastAsia="Times New Roman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</w:rPr>
              <w:t>　</w:t>
            </w: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6A8440E">
            <w:pPr>
              <w:widowControl/>
              <w:jc w:val="center"/>
              <w:rPr>
                <w:rFonts w:eastAsia="Times New Roman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</w:rPr>
              <w:t>　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37990F6">
            <w:pPr>
              <w:widowControl/>
              <w:jc w:val="center"/>
              <w:rPr>
                <w:rFonts w:eastAsia="Times New Roman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</w:rPr>
              <w:t>　</w:t>
            </w:r>
          </w:p>
        </w:tc>
      </w:tr>
      <w:tr w14:paraId="2D517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0E0BE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水费、电费、差旅费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29CC3">
            <w:pPr>
              <w:widowControl/>
              <w:jc w:val="center"/>
              <w:rPr>
                <w:rFonts w:eastAsia="Times New Roman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</w:rPr>
              <w:t>　</w:t>
            </w: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5814A8F">
            <w:pPr>
              <w:widowControl/>
              <w:jc w:val="center"/>
              <w:rPr>
                <w:rFonts w:eastAsia="Times New Roman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</w:rPr>
              <w:t>　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3C39EBE">
            <w:pPr>
              <w:widowControl/>
              <w:jc w:val="center"/>
              <w:rPr>
                <w:rFonts w:eastAsia="Times New Roman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</w:rPr>
              <w:t>　</w:t>
            </w:r>
          </w:p>
        </w:tc>
      </w:tr>
      <w:tr w14:paraId="4BC2C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9F935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会议费、培训费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71D4C08">
            <w:pPr>
              <w:widowControl/>
              <w:jc w:val="center"/>
              <w:rPr>
                <w:rFonts w:eastAsia="Times New Roman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</w:rPr>
              <w:t>　</w:t>
            </w: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30CBF52">
            <w:pPr>
              <w:widowControl/>
              <w:jc w:val="center"/>
              <w:rPr>
                <w:rFonts w:eastAsia="Times New Roman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</w:rPr>
              <w:t>　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49A2B12">
            <w:pPr>
              <w:widowControl/>
              <w:jc w:val="center"/>
              <w:rPr>
                <w:rFonts w:eastAsia="Times New Roman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</w:rPr>
              <w:t>　</w:t>
            </w:r>
          </w:p>
        </w:tc>
      </w:tr>
      <w:tr w14:paraId="49DDCD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B6C60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政府采购金额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3D241BF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eastAsia="Times New Roman"/>
                <w:kern w:val="0"/>
                <w:szCs w:val="21"/>
              </w:rPr>
              <w:t>——</w:t>
            </w: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4F1744D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C1FBAF5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6893F6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D6E57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部门基本支出预算调整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F5D3B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eastAsia="Times New Roman"/>
                <w:kern w:val="0"/>
                <w:szCs w:val="21"/>
              </w:rPr>
              <w:t>——</w:t>
            </w: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2761307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83B93E8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6B6DC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exact"/>
          <w:jc w:val="center"/>
        </w:trPr>
        <w:tc>
          <w:tcPr>
            <w:tcW w:w="300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0D9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楼堂馆所控制情况</w:t>
            </w:r>
          </w:p>
          <w:p w14:paraId="17AD47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（</w:t>
            </w:r>
            <w:r>
              <w:rPr>
                <w:rFonts w:hint="eastAsia"/>
                <w:kern w:val="0"/>
                <w:sz w:val="24"/>
                <w:lang w:eastAsia="zh-CN"/>
              </w:rPr>
              <w:t>2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025</w:t>
            </w:r>
            <w:r>
              <w:rPr>
                <w:rFonts w:eastAsia="宋体"/>
                <w:kern w:val="0"/>
                <w:sz w:val="24"/>
              </w:rPr>
              <w:t>年完工项目）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66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批复规模（㎡）</w:t>
            </w:r>
          </w:p>
          <w:p w14:paraId="75A463E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（）模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FE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实际规模（㎡）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BD4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规模控制率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FB9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预算投资（万元）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E20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实际投资（万元）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A900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投资概算控制率</w:t>
            </w:r>
          </w:p>
        </w:tc>
      </w:tr>
      <w:tr w14:paraId="5FBA44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  <w:jc w:val="center"/>
        </w:trPr>
        <w:tc>
          <w:tcPr>
            <w:tcW w:w="3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3737D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0A8C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EA80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29AC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8E28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2B72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1E4DFA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3EF727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45DC1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厉行节约保障措施</w:t>
            </w:r>
          </w:p>
        </w:tc>
        <w:tc>
          <w:tcPr>
            <w:tcW w:w="661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834E63">
            <w:pPr>
              <w:widowControl/>
              <w:jc w:val="center"/>
              <w:rPr>
                <w:rFonts w:eastAsia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</w:tbl>
    <w:p w14:paraId="1A4482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eastAsia="Times New Roman"/>
          <w:kern w:val="0"/>
          <w:sz w:val="22"/>
        </w:rPr>
      </w:pPr>
      <w:r>
        <w:rPr>
          <w:rFonts w:hint="eastAsia" w:ascii="仿宋_GB2312" w:hAnsi="仿宋_GB2312" w:eastAsia="仿宋_GB2312" w:cs="仿宋_GB2312"/>
          <w:kern w:val="0"/>
          <w:sz w:val="22"/>
        </w:rPr>
        <w:t>说明：</w:t>
      </w:r>
      <w:r>
        <w:rPr>
          <w:rFonts w:hint="eastAsia" w:ascii="仿宋_GB2312" w:hAnsi="仿宋_GB2312" w:eastAsia="仿宋_GB2312" w:cs="仿宋_GB2312"/>
          <w:kern w:val="0"/>
          <w:sz w:val="2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kern w:val="0"/>
          <w:sz w:val="22"/>
        </w:rPr>
        <w:t>“项目支出”需要填报基本支出以外的所有项目支出情况</w:t>
      </w:r>
      <w:r>
        <w:rPr>
          <w:rFonts w:hint="eastAsia" w:ascii="仿宋_GB2312" w:hAnsi="仿宋_GB2312" w:eastAsia="仿宋_GB2312" w:cs="仿宋_GB2312"/>
          <w:kern w:val="0"/>
          <w:sz w:val="2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22"/>
        </w:rPr>
        <w:t>“公用经费”填报基本支出中的一般商品和服务支出。</w:t>
      </w:r>
      <w:r>
        <w:rPr>
          <w:rFonts w:hint="eastAsia" w:ascii="仿宋_GB2312" w:hAnsi="仿宋_GB2312" w:eastAsia="仿宋_GB2312" w:cs="仿宋_GB2312"/>
          <w:kern w:val="0"/>
          <w:sz w:val="22"/>
          <w:lang w:val="en-US" w:eastAsia="zh-CN"/>
        </w:rPr>
        <w:t xml:space="preserve">2.单位：万元 </w:t>
      </w:r>
      <w:r>
        <w:rPr>
          <w:rFonts w:hint="eastAsia" w:ascii="宋体" w:hAnsi="宋体" w:cs="宋体"/>
          <w:kern w:val="0"/>
          <w:sz w:val="22"/>
          <w:lang w:val="en-US" w:eastAsia="zh-CN"/>
        </w:rPr>
        <w:t xml:space="preserve">          </w:t>
      </w:r>
    </w:p>
    <w:p w14:paraId="6B64A631">
      <w:pPr>
        <w:pStyle w:val="7"/>
        <w:rPr>
          <w:rFonts w:ascii="黑体" w:hAnsi="黑体" w:eastAsia="黑体" w:cs="仿宋"/>
          <w:sz w:val="32"/>
          <w:szCs w:val="32"/>
        </w:rPr>
      </w:pPr>
      <w:r>
        <w:rPr>
          <w:rFonts w:hint="eastAsia" w:ascii="宋体" w:hAnsi="宋体" w:cs="宋体"/>
          <w:kern w:val="0"/>
          <w:sz w:val="22"/>
        </w:rPr>
        <w:t>填表人：</w:t>
      </w:r>
      <w:r>
        <w:rPr>
          <w:rFonts w:eastAsia="Times New Roman"/>
          <w:kern w:val="0"/>
          <w:sz w:val="22"/>
        </w:rPr>
        <w:t xml:space="preserve">        </w:t>
      </w:r>
      <w:r>
        <w:rPr>
          <w:rFonts w:hint="eastAsia" w:ascii="宋体" w:hAnsi="宋体" w:cs="宋体"/>
          <w:kern w:val="0"/>
          <w:sz w:val="22"/>
        </w:rPr>
        <w:t>填报日期：</w:t>
      </w:r>
      <w:r>
        <w:rPr>
          <w:rFonts w:eastAsia="Times New Roman"/>
          <w:kern w:val="0"/>
          <w:sz w:val="22"/>
        </w:rPr>
        <w:t xml:space="preserve">          </w:t>
      </w:r>
      <w:r>
        <w:rPr>
          <w:rFonts w:hint="eastAsia" w:ascii="宋体" w:hAnsi="宋体" w:cs="宋体"/>
          <w:kern w:val="0"/>
          <w:sz w:val="22"/>
        </w:rPr>
        <w:t>联系电话：</w:t>
      </w:r>
      <w:r>
        <w:rPr>
          <w:rFonts w:eastAsia="Times New Roman"/>
          <w:kern w:val="0"/>
          <w:sz w:val="22"/>
        </w:rPr>
        <w:t xml:space="preserve">            </w:t>
      </w:r>
      <w:r>
        <w:rPr>
          <w:rFonts w:hint="eastAsia" w:ascii="宋体" w:hAnsi="宋体" w:cs="宋体"/>
          <w:kern w:val="0"/>
          <w:sz w:val="22"/>
        </w:rPr>
        <w:t>单位负责人签字：</w:t>
      </w:r>
    </w:p>
    <w:p w14:paraId="47DFDC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黑体" w:hAnsi="黑体" w:eastAsia="黑体" w:cs="宋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宋体"/>
          <w:kern w:val="0"/>
          <w:sz w:val="32"/>
          <w:szCs w:val="32"/>
          <w:lang w:val="en-US" w:eastAsia="zh-CN"/>
        </w:rPr>
        <w:t>2</w:t>
      </w:r>
    </w:p>
    <w:p w14:paraId="4E58BF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44"/>
          <w:szCs w:val="4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44"/>
          <w:szCs w:val="44"/>
          <w:lang w:eastAsia="zh-CN"/>
        </w:rPr>
        <w:t>2025</w:t>
      </w:r>
      <w:r>
        <w:rPr>
          <w:rFonts w:hint="eastAsia" w:ascii="微软雅黑" w:hAnsi="微软雅黑" w:eastAsia="微软雅黑" w:cs="微软雅黑"/>
          <w:color w:val="000000"/>
          <w:kern w:val="0"/>
          <w:sz w:val="44"/>
          <w:szCs w:val="44"/>
        </w:rPr>
        <w:t>年度部门整体支出绩效自评表</w:t>
      </w:r>
    </w:p>
    <w:tbl>
      <w:tblPr>
        <w:tblStyle w:val="11"/>
        <w:tblW w:w="999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026"/>
        <w:gridCol w:w="953"/>
        <w:gridCol w:w="609"/>
        <w:gridCol w:w="647"/>
        <w:gridCol w:w="95"/>
        <w:gridCol w:w="1200"/>
        <w:gridCol w:w="1276"/>
        <w:gridCol w:w="709"/>
        <w:gridCol w:w="992"/>
        <w:gridCol w:w="1352"/>
      </w:tblGrid>
      <w:tr w14:paraId="62F36F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EC19B">
            <w:pPr>
              <w:widowControl/>
              <w:spacing w:line="240" w:lineRule="exact"/>
              <w:jc w:val="left"/>
              <w:rPr>
                <w:rFonts w:eastAsia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区级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预算部门（单位）名称</w:t>
            </w:r>
          </w:p>
        </w:tc>
        <w:tc>
          <w:tcPr>
            <w:tcW w:w="885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588E7">
            <w:pPr>
              <w:widowControl/>
              <w:spacing w:line="240" w:lineRule="exact"/>
              <w:jc w:val="center"/>
              <w:rPr>
                <w:rFonts w:eastAsia="Times New Roman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eastAsia="zh-CN"/>
              </w:rPr>
              <w:t>安化县社会保险服务中心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　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46EC42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5522E">
            <w:pPr>
              <w:widowControl/>
              <w:spacing w:line="240" w:lineRule="exact"/>
              <w:jc w:val="center"/>
              <w:rPr>
                <w:rFonts w:eastAsia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年度预</w:t>
            </w:r>
          </w:p>
          <w:p w14:paraId="1B9A0906">
            <w:pPr>
              <w:widowControl/>
              <w:spacing w:line="240" w:lineRule="exact"/>
              <w:jc w:val="center"/>
              <w:rPr>
                <w:rFonts w:eastAsia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算申请</w:t>
            </w:r>
            <w:r>
              <w:rPr>
                <w:rFonts w:eastAsia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（万元）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352EF">
            <w:pPr>
              <w:spacing w:line="240" w:lineRule="exact"/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6948E">
            <w:pPr>
              <w:spacing w:line="240" w:lineRule="exact"/>
              <w:jc w:val="center"/>
              <w:rPr>
                <w:rFonts w:eastAsia="Times New Roman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年初</w:t>
            </w:r>
          </w:p>
          <w:p w14:paraId="728A9855">
            <w:pPr>
              <w:spacing w:line="240" w:lineRule="exact"/>
              <w:jc w:val="center"/>
              <w:rPr>
                <w:rFonts w:eastAsia="Times New Roman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预算数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C792F">
            <w:pPr>
              <w:spacing w:line="240" w:lineRule="exact"/>
              <w:jc w:val="center"/>
              <w:rPr>
                <w:rFonts w:eastAsia="Times New Roman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全年预算数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88068">
            <w:pPr>
              <w:spacing w:line="240" w:lineRule="exact"/>
              <w:jc w:val="center"/>
              <w:rPr>
                <w:rFonts w:eastAsia="Times New Roman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全年执行数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4DFBA">
            <w:pPr>
              <w:spacing w:line="240" w:lineRule="exact"/>
              <w:jc w:val="center"/>
              <w:rPr>
                <w:rFonts w:eastAsia="Times New Roman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分值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C5EFC">
            <w:pPr>
              <w:spacing w:line="240" w:lineRule="exact"/>
              <w:jc w:val="center"/>
              <w:rPr>
                <w:rFonts w:eastAsia="Times New Roman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执行率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7E207">
            <w:pPr>
              <w:spacing w:line="240" w:lineRule="exact"/>
              <w:jc w:val="center"/>
              <w:rPr>
                <w:rFonts w:eastAsia="Times New Roman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得分</w:t>
            </w:r>
          </w:p>
        </w:tc>
      </w:tr>
      <w:tr w14:paraId="4721D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DF5E4">
            <w:pPr>
              <w:widowControl/>
              <w:spacing w:line="240" w:lineRule="exact"/>
              <w:jc w:val="center"/>
              <w:rPr>
                <w:rFonts w:eastAsia="Times New Roman"/>
                <w:color w:val="000000"/>
                <w:kern w:val="0"/>
                <w:szCs w:val="21"/>
              </w:rPr>
            </w:pP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13E53">
            <w:pPr>
              <w:spacing w:line="240" w:lineRule="exact"/>
              <w:jc w:val="center"/>
              <w:rPr>
                <w:rFonts w:eastAsia="Times New Roman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年度资金总额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D698C">
            <w:pPr>
              <w:spacing w:line="24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533.28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11E1B">
            <w:pPr>
              <w:spacing w:line="24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803.75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0A00F">
            <w:pPr>
              <w:spacing w:line="240" w:lineRule="exact"/>
              <w:jc w:val="center"/>
              <w:rPr>
                <w:rFonts w:eastAsia="Times New Roman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803.75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2ADF1">
            <w:pPr>
              <w:spacing w:line="240" w:lineRule="exact"/>
              <w:jc w:val="center"/>
              <w:rPr>
                <w:rFonts w:eastAsia="Times New Roman"/>
                <w:szCs w:val="21"/>
              </w:rPr>
            </w:pPr>
            <w:r>
              <w:rPr>
                <w:rFonts w:eastAsia="Times New Roman"/>
                <w:szCs w:val="21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2DFB5">
            <w:pPr>
              <w:spacing w:line="24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100%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43560">
            <w:pPr>
              <w:spacing w:line="24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10</w:t>
            </w:r>
          </w:p>
        </w:tc>
      </w:tr>
      <w:tr w14:paraId="54E0C1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439E1">
            <w:pPr>
              <w:widowControl/>
              <w:spacing w:line="240" w:lineRule="exact"/>
              <w:jc w:val="left"/>
              <w:rPr>
                <w:rFonts w:eastAsia="Times New Roman"/>
                <w:color w:val="000000"/>
                <w:kern w:val="0"/>
                <w:szCs w:val="21"/>
              </w:rPr>
            </w:pPr>
          </w:p>
        </w:tc>
        <w:tc>
          <w:tcPr>
            <w:tcW w:w="4530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86620">
            <w:pPr>
              <w:widowControl/>
              <w:spacing w:line="240" w:lineRule="exact"/>
              <w:jc w:val="left"/>
              <w:rPr>
                <w:rFonts w:eastAsia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按收入性质分：</w:t>
            </w:r>
          </w:p>
        </w:tc>
        <w:tc>
          <w:tcPr>
            <w:tcW w:w="43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EDE58">
            <w:pPr>
              <w:widowControl/>
              <w:spacing w:line="240" w:lineRule="exact"/>
              <w:jc w:val="left"/>
              <w:rPr>
                <w:rFonts w:eastAsia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按支出性质分：</w:t>
            </w:r>
          </w:p>
        </w:tc>
      </w:tr>
      <w:tr w14:paraId="67FD34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83D64">
            <w:pPr>
              <w:widowControl/>
              <w:spacing w:line="240" w:lineRule="exact"/>
              <w:jc w:val="left"/>
              <w:rPr>
                <w:rFonts w:eastAsia="Times New Roman"/>
                <w:color w:val="000000"/>
                <w:kern w:val="0"/>
                <w:szCs w:val="21"/>
              </w:rPr>
            </w:pPr>
          </w:p>
        </w:tc>
        <w:tc>
          <w:tcPr>
            <w:tcW w:w="4530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C1A9D">
            <w:pPr>
              <w:widowControl/>
              <w:spacing w:line="240" w:lineRule="exact"/>
              <w:jc w:val="left"/>
              <w:rPr>
                <w:rFonts w:hint="default" w:eastAsia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eastAsia="Times New Roman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其中：</w:t>
            </w:r>
            <w:r>
              <w:rPr>
                <w:rFonts w:eastAsia="Times New Roman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一般公共预算：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764.55</w:t>
            </w:r>
          </w:p>
        </w:tc>
        <w:tc>
          <w:tcPr>
            <w:tcW w:w="43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50C93">
            <w:pPr>
              <w:widowControl/>
              <w:spacing w:line="240" w:lineRule="exact"/>
              <w:jc w:val="left"/>
              <w:rPr>
                <w:rFonts w:eastAsia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其中：基本支出：</w:t>
            </w:r>
            <w:r>
              <w:rPr>
                <w:rFonts w:hint="eastAsia"/>
                <w:szCs w:val="21"/>
                <w:lang w:val="en-US" w:eastAsia="zh-CN"/>
              </w:rPr>
              <w:t>803.75</w:t>
            </w:r>
          </w:p>
        </w:tc>
      </w:tr>
      <w:tr w14:paraId="06C8B3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45C6A">
            <w:pPr>
              <w:widowControl/>
              <w:spacing w:line="240" w:lineRule="exact"/>
              <w:jc w:val="left"/>
              <w:rPr>
                <w:rFonts w:eastAsia="Times New Roman"/>
                <w:color w:val="000000"/>
                <w:kern w:val="0"/>
                <w:szCs w:val="21"/>
              </w:rPr>
            </w:pPr>
          </w:p>
        </w:tc>
        <w:tc>
          <w:tcPr>
            <w:tcW w:w="4530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F138E">
            <w:pPr>
              <w:widowControl/>
              <w:spacing w:line="240" w:lineRule="exact"/>
              <w:ind w:firstLine="840" w:firstLineChars="400"/>
              <w:jc w:val="left"/>
              <w:rPr>
                <w:rFonts w:eastAsia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政府性基金拨款：</w:t>
            </w:r>
          </w:p>
        </w:tc>
        <w:tc>
          <w:tcPr>
            <w:tcW w:w="43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06531">
            <w:pPr>
              <w:widowControl/>
              <w:spacing w:line="240" w:lineRule="exact"/>
              <w:ind w:firstLine="630" w:firstLineChars="300"/>
              <w:jc w:val="left"/>
              <w:rPr>
                <w:rFonts w:eastAsia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项目支出：</w:t>
            </w:r>
          </w:p>
        </w:tc>
      </w:tr>
      <w:tr w14:paraId="49F143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319BB">
            <w:pPr>
              <w:widowControl/>
              <w:spacing w:line="240" w:lineRule="exact"/>
              <w:jc w:val="left"/>
              <w:rPr>
                <w:rFonts w:eastAsia="Times New Roman"/>
                <w:color w:val="000000"/>
                <w:kern w:val="0"/>
                <w:szCs w:val="21"/>
              </w:rPr>
            </w:pPr>
          </w:p>
        </w:tc>
        <w:tc>
          <w:tcPr>
            <w:tcW w:w="4530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1E976">
            <w:pPr>
              <w:widowControl/>
              <w:spacing w:line="240" w:lineRule="exact"/>
              <w:jc w:val="left"/>
              <w:rPr>
                <w:rFonts w:eastAsia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纳入专户管理的非税收入拨款：</w:t>
            </w:r>
          </w:p>
        </w:tc>
        <w:tc>
          <w:tcPr>
            <w:tcW w:w="43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2BA07">
            <w:pPr>
              <w:widowControl/>
              <w:spacing w:line="240" w:lineRule="exact"/>
              <w:jc w:val="left"/>
              <w:rPr>
                <w:rFonts w:eastAsia="Times New Roman"/>
                <w:color w:val="000000"/>
                <w:kern w:val="0"/>
                <w:szCs w:val="21"/>
              </w:rPr>
            </w:pPr>
          </w:p>
        </w:tc>
      </w:tr>
      <w:tr w14:paraId="7EBC5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13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E0E8C3">
            <w:pPr>
              <w:widowControl/>
              <w:spacing w:line="240" w:lineRule="exact"/>
              <w:jc w:val="left"/>
              <w:rPr>
                <w:rFonts w:eastAsia="Times New Roman"/>
                <w:color w:val="000000"/>
                <w:kern w:val="0"/>
                <w:szCs w:val="21"/>
              </w:rPr>
            </w:pPr>
          </w:p>
        </w:tc>
        <w:tc>
          <w:tcPr>
            <w:tcW w:w="4530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54525">
            <w:pPr>
              <w:widowControl/>
              <w:spacing w:line="240" w:lineRule="exact"/>
              <w:ind w:firstLine="1470" w:firstLineChars="700"/>
              <w:jc w:val="left"/>
              <w:rPr>
                <w:rFonts w:hint="default" w:eastAsia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其他资金：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39.2</w:t>
            </w:r>
          </w:p>
        </w:tc>
        <w:tc>
          <w:tcPr>
            <w:tcW w:w="43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42CB3">
            <w:pPr>
              <w:widowControl/>
              <w:spacing w:line="240" w:lineRule="exact"/>
              <w:jc w:val="left"/>
              <w:rPr>
                <w:rFonts w:eastAsia="Times New Roman"/>
                <w:color w:val="000000"/>
                <w:kern w:val="0"/>
                <w:szCs w:val="21"/>
              </w:rPr>
            </w:pPr>
          </w:p>
        </w:tc>
      </w:tr>
      <w:tr w14:paraId="484C7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13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6DC30A5">
            <w:pPr>
              <w:widowControl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4530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57D0A3C4">
            <w:pPr>
              <w:widowControl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432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00440AC">
            <w:pPr>
              <w:widowControl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实际完成情况　</w:t>
            </w:r>
          </w:p>
        </w:tc>
      </w:tr>
      <w:tr w14:paraId="52270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13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20A4DA5">
            <w:pPr>
              <w:widowControl/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30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27D94CEB">
            <w:pPr>
              <w:widowControl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保障机关养老保险、职业年金、企业职工基本养老保险、城乡居民养老保险宣传、档案管理、社保系统维护等相关工作正常运转　　</w:t>
            </w:r>
          </w:p>
        </w:tc>
        <w:tc>
          <w:tcPr>
            <w:tcW w:w="432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54BF21B">
            <w:pPr>
              <w:widowControl/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　保障了机关养老保险、职业年金、企业职工基本养老保险、城乡居民养老保险宣传、档案管理、社保系统维护等相关工作正常运转</w:t>
            </w:r>
          </w:p>
        </w:tc>
      </w:tr>
      <w:tr w14:paraId="3BA23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34" w:type="dxa"/>
            <w:tcBorders>
              <w:tl2br w:val="nil"/>
              <w:tr2bl w:val="nil"/>
            </w:tcBorders>
            <w:noWrap w:val="0"/>
            <w:vAlign w:val="center"/>
          </w:tcPr>
          <w:p w14:paraId="1D94D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noWrap w:val="0"/>
            <w:vAlign w:val="center"/>
          </w:tcPr>
          <w:p w14:paraId="448E6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56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4058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74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BA20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年度指标值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2B3C9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noWrap w:val="0"/>
            <w:vAlign w:val="center"/>
          </w:tcPr>
          <w:p w14:paraId="20590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分值</w:t>
            </w:r>
          </w:p>
        </w:tc>
        <w:tc>
          <w:tcPr>
            <w:tcW w:w="709" w:type="dxa"/>
            <w:tcBorders>
              <w:tl2br w:val="nil"/>
              <w:tr2bl w:val="nil"/>
            </w:tcBorders>
            <w:noWrap w:val="0"/>
            <w:vAlign w:val="center"/>
          </w:tcPr>
          <w:p w14:paraId="34B11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992" w:type="dxa"/>
            <w:tcBorders>
              <w:tl2br w:val="nil"/>
              <w:tr2bl w:val="nil"/>
            </w:tcBorders>
            <w:noWrap w:val="0"/>
            <w:vAlign w:val="center"/>
          </w:tcPr>
          <w:p w14:paraId="2CD33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偏差原因分析及改进措施</w:t>
            </w:r>
          </w:p>
        </w:tc>
        <w:tc>
          <w:tcPr>
            <w:tcW w:w="1352" w:type="dxa"/>
            <w:tcBorders>
              <w:tl2br w:val="nil"/>
              <w:tr2bl w:val="nil"/>
            </w:tcBorders>
            <w:noWrap w:val="0"/>
            <w:vAlign w:val="center"/>
          </w:tcPr>
          <w:p w14:paraId="74213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</w:t>
            </w:r>
          </w:p>
        </w:tc>
      </w:tr>
      <w:tr w14:paraId="09002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13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4110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102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F6A9E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56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E5E2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企业职工养老保险参保人数</w:t>
            </w:r>
          </w:p>
        </w:tc>
        <w:tc>
          <w:tcPr>
            <w:tcW w:w="74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79D1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78927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5805E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78927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noWrap w:val="0"/>
            <w:vAlign w:val="center"/>
          </w:tcPr>
          <w:p w14:paraId="75605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noWrap w:val="0"/>
            <w:vAlign w:val="center"/>
          </w:tcPr>
          <w:p w14:paraId="6DB3F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92" w:type="dxa"/>
            <w:tcBorders>
              <w:tl2br w:val="nil"/>
              <w:tr2bl w:val="nil"/>
            </w:tcBorders>
            <w:noWrap w:val="0"/>
            <w:vAlign w:val="center"/>
          </w:tcPr>
          <w:p w14:paraId="5930D20D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99AE7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</w:t>
            </w:r>
          </w:p>
        </w:tc>
      </w:tr>
      <w:tr w14:paraId="54334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13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4F24E6A">
            <w:pP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EB131D7">
            <w:pP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3AFB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城乡居民养老保险参保人数</w:t>
            </w:r>
          </w:p>
        </w:tc>
        <w:tc>
          <w:tcPr>
            <w:tcW w:w="74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AD46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557514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31D58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557514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noWrap w:val="0"/>
            <w:vAlign w:val="center"/>
          </w:tcPr>
          <w:p w14:paraId="09B07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noWrap w:val="0"/>
            <w:vAlign w:val="center"/>
          </w:tcPr>
          <w:p w14:paraId="350C5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92" w:type="dxa"/>
            <w:tcBorders>
              <w:tl2br w:val="nil"/>
              <w:tr2bl w:val="nil"/>
            </w:tcBorders>
            <w:noWrap w:val="0"/>
            <w:vAlign w:val="center"/>
          </w:tcPr>
          <w:p w14:paraId="7BFE9C02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F147425">
            <w:pP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</w:p>
        </w:tc>
      </w:tr>
      <w:tr w14:paraId="1B1B9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13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DCBDE3D">
            <w:pP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3666B32">
            <w:pP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6A2E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机关事业单位养老保险参保人数</w:t>
            </w:r>
          </w:p>
        </w:tc>
        <w:tc>
          <w:tcPr>
            <w:tcW w:w="74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1AEA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30361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06076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30361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noWrap w:val="0"/>
            <w:vAlign w:val="center"/>
          </w:tcPr>
          <w:p w14:paraId="3F536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noWrap w:val="0"/>
            <w:vAlign w:val="center"/>
          </w:tcPr>
          <w:p w14:paraId="17D32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92" w:type="dxa"/>
            <w:tcBorders>
              <w:tl2br w:val="nil"/>
              <w:tr2bl w:val="nil"/>
            </w:tcBorders>
            <w:noWrap w:val="0"/>
            <w:vAlign w:val="center"/>
          </w:tcPr>
          <w:p w14:paraId="7A3E54AD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79E58CB">
            <w:pP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</w:p>
        </w:tc>
      </w:tr>
      <w:tr w14:paraId="53FF5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13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67C7F5B">
            <w:pP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555DBB1">
            <w:pP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B39E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参保覆盖率</w:t>
            </w:r>
          </w:p>
        </w:tc>
        <w:tc>
          <w:tcPr>
            <w:tcW w:w="74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5F5F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5A7CB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noWrap w:val="0"/>
            <w:vAlign w:val="center"/>
          </w:tcPr>
          <w:p w14:paraId="6933B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noWrap w:val="0"/>
            <w:vAlign w:val="center"/>
          </w:tcPr>
          <w:p w14:paraId="47690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92" w:type="dxa"/>
            <w:tcBorders>
              <w:tl2br w:val="nil"/>
              <w:tr2bl w:val="nil"/>
            </w:tcBorders>
            <w:noWrap w:val="0"/>
            <w:vAlign w:val="center"/>
          </w:tcPr>
          <w:p w14:paraId="579D5E36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29B29A">
            <w:pP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</w:p>
        </w:tc>
      </w:tr>
      <w:tr w14:paraId="658DE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13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4447C36">
            <w:pP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ACAED1A">
            <w:pP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B944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时间有效期</w:t>
            </w:r>
          </w:p>
        </w:tc>
        <w:tc>
          <w:tcPr>
            <w:tcW w:w="74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61C3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0A8C0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1年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noWrap w:val="0"/>
            <w:vAlign w:val="center"/>
          </w:tcPr>
          <w:p w14:paraId="08069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noWrap w:val="0"/>
            <w:vAlign w:val="center"/>
          </w:tcPr>
          <w:p w14:paraId="0EE1F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92" w:type="dxa"/>
            <w:tcBorders>
              <w:tl2br w:val="nil"/>
              <w:tr2bl w:val="nil"/>
            </w:tcBorders>
            <w:noWrap w:val="0"/>
            <w:vAlign w:val="center"/>
          </w:tcPr>
          <w:p w14:paraId="60B7374D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6058CC0">
            <w:pP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</w:p>
        </w:tc>
      </w:tr>
      <w:tr w14:paraId="0B157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13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F4C60F3">
            <w:pP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6" w:type="dxa"/>
            <w:tcBorders>
              <w:tl2br w:val="nil"/>
              <w:tr2bl w:val="nil"/>
            </w:tcBorders>
            <w:noWrap w:val="0"/>
            <w:vAlign w:val="center"/>
          </w:tcPr>
          <w:p w14:paraId="75675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562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E996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参保受益人口数</w:t>
            </w:r>
          </w:p>
        </w:tc>
        <w:tc>
          <w:tcPr>
            <w:tcW w:w="742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9E7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666802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68F3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666802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C8EB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9ABA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245F00B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A8032F5">
            <w:pP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</w:p>
        </w:tc>
      </w:tr>
      <w:tr w14:paraId="5495B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5" w:hRule="atLeast"/>
          <w:jc w:val="center"/>
        </w:trPr>
        <w:tc>
          <w:tcPr>
            <w:tcW w:w="113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7F4894B">
            <w:pP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6" w:type="dxa"/>
            <w:tcBorders>
              <w:tl2br w:val="nil"/>
              <w:tr2bl w:val="nil"/>
            </w:tcBorders>
            <w:noWrap w:val="0"/>
            <w:vAlign w:val="center"/>
          </w:tcPr>
          <w:p w14:paraId="2A00D6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56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A665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74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F920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497DD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95%</w:t>
            </w:r>
            <w:bookmarkStart w:id="0" w:name="_GoBack"/>
            <w:bookmarkEnd w:id="0"/>
          </w:p>
        </w:tc>
        <w:tc>
          <w:tcPr>
            <w:tcW w:w="1276" w:type="dxa"/>
            <w:tcBorders>
              <w:tl2br w:val="nil"/>
              <w:tr2bl w:val="nil"/>
            </w:tcBorders>
            <w:noWrap w:val="0"/>
            <w:vAlign w:val="center"/>
          </w:tcPr>
          <w:p w14:paraId="5EB47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noWrap w:val="0"/>
            <w:vAlign w:val="center"/>
          </w:tcPr>
          <w:p w14:paraId="1F675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92" w:type="dxa"/>
            <w:tcBorders>
              <w:tl2br w:val="nil"/>
              <w:tr2bl w:val="nil"/>
            </w:tcBorders>
            <w:noWrap w:val="0"/>
            <w:vAlign w:val="center"/>
          </w:tcPr>
          <w:p w14:paraId="4475DEFD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1AF9711">
            <w:pP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</w:p>
        </w:tc>
      </w:tr>
      <w:tr w14:paraId="072A0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13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072F5D3">
            <w:pP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E7527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56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85EB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各险种所需专项经费成本</w:t>
            </w:r>
          </w:p>
        </w:tc>
        <w:tc>
          <w:tcPr>
            <w:tcW w:w="74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B6C6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6104A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60万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noWrap w:val="0"/>
            <w:vAlign w:val="center"/>
          </w:tcPr>
          <w:p w14:paraId="170E3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noWrap w:val="0"/>
            <w:vAlign w:val="center"/>
          </w:tcPr>
          <w:p w14:paraId="008BE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9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D4200D2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642AF02">
            <w:pP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</w:p>
        </w:tc>
      </w:tr>
      <w:tr w14:paraId="40AB1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13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8BD0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02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3E42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56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3EC1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养老保险政策宣传</w:t>
            </w:r>
          </w:p>
        </w:tc>
        <w:tc>
          <w:tcPr>
            <w:tcW w:w="74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B118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02574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20万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noWrap w:val="0"/>
            <w:vAlign w:val="center"/>
          </w:tcPr>
          <w:p w14:paraId="391B1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noWrap w:val="0"/>
            <w:vAlign w:val="center"/>
          </w:tcPr>
          <w:p w14:paraId="4889E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44B8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1E85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C1E8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940" w:type="dxa"/>
            <w:gridSpan w:val="8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ED99BB">
            <w:pPr>
              <w:widowControl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总分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8A89BB">
            <w:pPr>
              <w:widowControl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0B7825">
            <w:pPr>
              <w:widowControl/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35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C5AFAA2">
            <w:pPr>
              <w:widowControl/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　</w:t>
            </w:r>
          </w:p>
        </w:tc>
      </w:tr>
    </w:tbl>
    <w:p w14:paraId="66C6F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仿宋" w:hAnsi="仿宋" w:eastAsia="仿宋" w:cs="仿宋"/>
          <w:kern w:val="0"/>
          <w:szCs w:val="21"/>
        </w:rPr>
      </w:pPr>
      <w:r>
        <w:rPr>
          <w:rFonts w:hint="eastAsia" w:ascii="仿宋" w:hAnsi="仿宋" w:eastAsia="仿宋" w:cs="仿宋"/>
          <w:kern w:val="0"/>
          <w:szCs w:val="21"/>
        </w:rPr>
        <w:t>说明：三级指标的设立以</w:t>
      </w:r>
      <w:r>
        <w:rPr>
          <w:rFonts w:hint="eastAsia" w:ascii="仿宋" w:hAnsi="仿宋" w:eastAsia="仿宋" w:cs="仿宋"/>
          <w:kern w:val="0"/>
          <w:szCs w:val="21"/>
          <w:lang w:eastAsia="zh-CN"/>
        </w:rPr>
        <w:t>2025</w:t>
      </w:r>
      <w:r>
        <w:rPr>
          <w:rFonts w:hint="eastAsia" w:ascii="仿宋" w:hAnsi="仿宋" w:eastAsia="仿宋" w:cs="仿宋"/>
          <w:kern w:val="0"/>
          <w:szCs w:val="21"/>
        </w:rPr>
        <w:t>年度预算绩效目标申报表申报指标为准。</w:t>
      </w:r>
    </w:p>
    <w:p w14:paraId="4B978429">
      <w:pPr>
        <w:rPr>
          <w:rFonts w:ascii="黑体" w:hAnsi="黑体" w:eastAsia="黑体" w:cs="仿宋"/>
          <w:sz w:val="32"/>
          <w:szCs w:val="32"/>
        </w:rPr>
      </w:pPr>
      <w:r>
        <w:rPr>
          <w:rFonts w:hint="eastAsia" w:ascii="宋体" w:hAnsi="宋体" w:cs="宋体"/>
          <w:kern w:val="0"/>
          <w:szCs w:val="21"/>
        </w:rPr>
        <w:t>填表人：</w:t>
      </w:r>
      <w:r>
        <w:rPr>
          <w:rFonts w:eastAsia="Times New Roman"/>
          <w:kern w:val="0"/>
          <w:szCs w:val="21"/>
        </w:rPr>
        <w:t xml:space="preserve">        </w:t>
      </w:r>
      <w:r>
        <w:rPr>
          <w:rFonts w:hint="eastAsia" w:ascii="宋体" w:hAnsi="宋体" w:cs="宋体"/>
          <w:kern w:val="0"/>
          <w:szCs w:val="21"/>
        </w:rPr>
        <w:t>填报日期：</w:t>
      </w:r>
      <w:r>
        <w:rPr>
          <w:rFonts w:eastAsia="Times New Roman"/>
          <w:kern w:val="0"/>
          <w:szCs w:val="21"/>
        </w:rPr>
        <w:t xml:space="preserve">          </w:t>
      </w:r>
      <w:r>
        <w:rPr>
          <w:rFonts w:hint="eastAsia" w:ascii="宋体" w:hAnsi="宋体" w:cs="宋体"/>
          <w:kern w:val="0"/>
          <w:szCs w:val="21"/>
        </w:rPr>
        <w:t>联系电话：</w:t>
      </w:r>
      <w:r>
        <w:rPr>
          <w:rFonts w:eastAsia="Times New Roman"/>
          <w:kern w:val="0"/>
          <w:szCs w:val="21"/>
        </w:rPr>
        <w:t xml:space="preserve">            </w:t>
      </w:r>
      <w:r>
        <w:rPr>
          <w:rFonts w:hint="eastAsia" w:ascii="宋体" w:hAnsi="宋体" w:cs="宋体"/>
          <w:kern w:val="0"/>
          <w:szCs w:val="21"/>
        </w:rPr>
        <w:t>单位负责人签字：</w:t>
      </w:r>
      <w:r>
        <w:rPr>
          <w:rFonts w:eastAsia="Times New Roman"/>
          <w:kern w:val="0"/>
          <w:szCs w:val="21"/>
        </w:rPr>
        <w:br w:type="page"/>
      </w:r>
    </w:p>
    <w:p w14:paraId="44C97AEC">
      <w:pPr>
        <w:rPr>
          <w:rFonts w:ascii="黑体" w:hAnsi="黑体" w:eastAsia="黑体" w:cs="仿宋"/>
          <w:sz w:val="32"/>
          <w:szCs w:val="32"/>
        </w:rPr>
      </w:pPr>
    </w:p>
    <w:p w14:paraId="713E7465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4</w:t>
      </w:r>
    </w:p>
    <w:p w14:paraId="425C9E71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4FED98F9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38203085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7B4746D6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0F66C7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黑体" w:hAnsi="黑体" w:eastAsia="黑体" w:cs="黑体"/>
          <w:bCs/>
          <w:kern w:val="0"/>
          <w:sz w:val="52"/>
          <w:szCs w:val="52"/>
        </w:rPr>
      </w:pPr>
      <w:r>
        <w:rPr>
          <w:rFonts w:hint="eastAsia" w:ascii="黑体" w:hAnsi="黑体" w:eastAsia="黑体" w:cs="黑体"/>
          <w:sz w:val="52"/>
          <w:szCs w:val="52"/>
          <w:lang w:val="en-US" w:eastAsia="zh-CN"/>
        </w:rPr>
        <w:t>2025年度部门</w:t>
      </w:r>
      <w:r>
        <w:rPr>
          <w:rFonts w:hint="eastAsia" w:ascii="黑体" w:hAnsi="黑体" w:eastAsia="黑体" w:cs="黑体"/>
          <w:sz w:val="52"/>
          <w:szCs w:val="52"/>
        </w:rPr>
        <w:t>整体支出</w:t>
      </w:r>
    </w:p>
    <w:p w14:paraId="6FC288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黑体" w:hAnsi="黑体" w:eastAsia="黑体" w:cs="黑体"/>
          <w:sz w:val="52"/>
          <w:szCs w:val="52"/>
          <w:lang w:eastAsia="zh-CN"/>
        </w:rPr>
      </w:pPr>
      <w:r>
        <w:rPr>
          <w:rFonts w:hint="eastAsia" w:ascii="黑体" w:hAnsi="黑体" w:eastAsia="黑体" w:cs="黑体"/>
          <w:sz w:val="52"/>
          <w:szCs w:val="52"/>
          <w:lang w:eastAsia="zh-CN"/>
        </w:rPr>
        <w:t>绩效自评报告</w:t>
      </w:r>
    </w:p>
    <w:p w14:paraId="41EB0B90">
      <w:pPr>
        <w:widowControl/>
        <w:ind w:firstLine="361" w:firstLineChars="100"/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4964209F"/>
    <w:p w14:paraId="4D670075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02E330EF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4C0F570A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2BE80D6C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2479D74D">
      <w:pPr>
        <w:pStyle w:val="7"/>
      </w:pPr>
    </w:p>
    <w:p w14:paraId="5975E54E">
      <w:pPr>
        <w:widowControl/>
        <w:ind w:firstLine="361" w:firstLineChars="100"/>
        <w:rPr>
          <w:rFonts w:hint="eastAsia" w:ascii="楷体" w:hAnsi="楷体" w:eastAsia="楷体" w:cs="楷体"/>
          <w:b/>
          <w:bCs/>
          <w:kern w:val="0"/>
          <w:sz w:val="36"/>
          <w:szCs w:val="36"/>
        </w:rPr>
      </w:pPr>
    </w:p>
    <w:p w14:paraId="500FD674">
      <w:pPr>
        <w:widowControl/>
        <w:ind w:firstLine="360" w:firstLineChars="100"/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  <w:u w:val="single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申报单位（盖章）</w:t>
      </w:r>
      <w:r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</w:rPr>
        <w:t>：</w:t>
      </w:r>
      <w:r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  <w:u w:val="single"/>
          <w:lang w:eastAsia="zh-CN"/>
        </w:rPr>
        <w:t>安化县社会保险服务中心</w:t>
      </w:r>
      <w:r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  <w:u w:val="single"/>
        </w:rPr>
        <w:t xml:space="preserve">               </w:t>
      </w:r>
    </w:p>
    <w:p w14:paraId="6D59C786">
      <w:pPr>
        <w:widowControl/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  <w:u w:val="single"/>
        </w:rPr>
      </w:pPr>
    </w:p>
    <w:p w14:paraId="6AC054C4">
      <w:pPr>
        <w:jc w:val="center"/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2026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年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4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 xml:space="preserve"> 月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13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日</w:t>
      </w:r>
    </w:p>
    <w:p w14:paraId="2A63A0BF">
      <w:pPr>
        <w:jc w:val="center"/>
        <w:rPr>
          <w:rFonts w:hint="eastAsia" w:ascii="黑体" w:hAnsi="黑体" w:eastAsia="黑体" w:cs="宋体"/>
          <w:ker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  <w:lang w:eastAsia="zh-CN"/>
        </w:rPr>
        <w:t>（此页为封面）</w:t>
      </w:r>
      <w:r>
        <w:rPr>
          <w:rFonts w:hint="eastAsia" w:ascii="黑体" w:hAnsi="黑体" w:eastAsia="黑体" w:cs="仿宋"/>
          <w:kern w:val="0"/>
          <w:sz w:val="32"/>
          <w:szCs w:val="32"/>
        </w:rPr>
        <w:br w:type="page"/>
      </w:r>
    </w:p>
    <w:p w14:paraId="0D24F3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年度部门整体支出绩效自评报告</w:t>
      </w:r>
    </w:p>
    <w:p w14:paraId="12BEEC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一、单位基本情况</w:t>
      </w:r>
    </w:p>
    <w:p w14:paraId="1625F5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（一）部门基本情况。</w:t>
      </w:r>
    </w:p>
    <w:p w14:paraId="247B371C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我中心系安化县人力资源和社会保障局下属全额拨款事业单位，主要职责是负责宣传和贯彻执行社会养老保险政策，负责参保人员资格审查，负责为参保人建立个人账户、对个人账户进行管理，负责待遇领取资格认定、待遇核定与支付养老金工作，并按年度对待遇领取人员进行资格认证，负责参保人员保险关系转移接续工作，负责受理参保人咨询、查询、举报等工作，负责对乡镇人社中心业务经办进行指导、监督和考评工作。2025年本单位内设股室9个，由办公室、财务股、基金征缴股、个人账户股、职业年金股、离退休管理服务股、审计稽核股、待遇资格认证股、被征地农民股组成。我单位编制人数38人，年未实有人数38人。</w:t>
      </w:r>
    </w:p>
    <w:p w14:paraId="2A9843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eastAsia="zh-CN"/>
        </w:rPr>
        <w:t>二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）部门整体支出规模、使用方向和主要内容、涉及范围等。</w:t>
      </w:r>
    </w:p>
    <w:p w14:paraId="4C37FE1A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2025年末我中心整体支出803.75万元，其中工资福利支出528.45万元，商品和服务支出244.83万元，对个人和家庭的补助30.47万元。</w:t>
      </w:r>
    </w:p>
    <w:p w14:paraId="55F528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eastAsia="zh-CN"/>
        </w:rPr>
        <w:t>三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）绩效目标设立情况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eastAsia="zh-CN"/>
        </w:rPr>
        <w:t>。</w:t>
      </w:r>
    </w:p>
    <w:p w14:paraId="0E645089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我中心绩效目标主要有：完成企业养老保险、被征地农民养老保险征缴任务，做好企业养老保险、机关养老保险、城乡居民养老保险与税务的衔接，配合税务做好征缴工作。按时足额发放养老保险待遇，做好关系转移衔接、资格认证、死亡上报和丧葬补助金的发放。加强基金监督检查，确保基金规范运作和基金安全完整。规范窗口服务，提升群众办事满意度。</w:t>
      </w:r>
    </w:p>
    <w:p w14:paraId="032A84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二、一般公共预算支出情况</w:t>
      </w:r>
    </w:p>
    <w:p w14:paraId="612870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(一)基本支出情况</w:t>
      </w:r>
    </w:p>
    <w:p w14:paraId="61C3E884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zh-CN" w:eastAsia="zh-CN"/>
        </w:rPr>
        <w:t>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CN" w:eastAsia="zh-CN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度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CN" w:eastAsia="zh-CN"/>
        </w:rPr>
        <w:t>基本支出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803.75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CN" w:eastAsia="zh-CN"/>
        </w:rPr>
        <w:t>万元，其中：人员经费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558.92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CN" w:eastAsia="zh-CN"/>
        </w:rPr>
        <w:t>万元，占基本支出的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70%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CN" w:eastAsia="zh-CN"/>
        </w:rPr>
        <w:t>,主要包括基本工资、津贴补贴、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职业年金、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CN" w:eastAsia="zh-CN"/>
        </w:rPr>
        <w:t>伙食补助费、绩效工资、机关事业单位基本养老保险缴费、职工基本医疗保险缴费、住房公积金等；公用经费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244.83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CN" w:eastAsia="zh-CN"/>
        </w:rPr>
        <w:t>万元，占基本支出的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30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CN" w:eastAsia="zh-CN"/>
        </w:rPr>
        <w:t>%，主要包括办公费、邮电费、差旅费、租赁费、公务接待费、工会费、他商品和服务支出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以及支付给乡镇的人头经费和工作经费。“三公”经费支出情况：2025年，“三公”经费支出0万元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CN" w:eastAsia="zh-CN"/>
        </w:rPr>
        <w:t>。</w:t>
      </w:r>
    </w:p>
    <w:p w14:paraId="2D3F4A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(二)项目支出情况</w:t>
      </w:r>
    </w:p>
    <w:p w14:paraId="6FBCEBB0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项目支出0万元。</w:t>
      </w:r>
    </w:p>
    <w:p w14:paraId="75EC802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政府性基金预算支出情况</w:t>
      </w:r>
    </w:p>
    <w:p w14:paraId="70D39C70">
      <w:pPr>
        <w:ind w:firstLine="640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2025年本部门政府性基金支出预算0万元。</w:t>
      </w:r>
    </w:p>
    <w:p w14:paraId="4146400D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国有资本经营预算支出情况</w:t>
      </w:r>
    </w:p>
    <w:p w14:paraId="2231DFB3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2025年本部门无国有资本经营预算的支出。</w:t>
      </w:r>
    </w:p>
    <w:p w14:paraId="4675B08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社会保险基金预算支出情况</w:t>
      </w:r>
    </w:p>
    <w:p w14:paraId="1FBB275D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2025年本部门社会保险基金预算支出143.43万元。</w:t>
      </w:r>
    </w:p>
    <w:p w14:paraId="3CE7EE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六、部门整体支出绩效情况</w:t>
      </w:r>
    </w:p>
    <w:p w14:paraId="76C92D22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2025年度支出总额803.75万元，其中基本支出803.75万元，基本支出保障了单位正常运转的日常支出，包括基本工资、津贴补贴等人员经费以及办公费、水电费、差旅费等日常公用经费；项目支出金额0万元。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CN" w:eastAsia="zh-CN"/>
        </w:rPr>
        <w:t>今年以来，我中心以提质扩面为工作主线，全面推动各项业务工作。我县按照“广覆盖、保基本、多层次、可持续”基本方针，在城乡居保、企业职保、机关事保等领域多点发力，一是积极开展“助力乡村振兴、推进居保可感”进村宣讲，组建中心宣讲团和进村服务队进村开展实地宣传，全年组织实地宣讲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38次，覆盖全县24个乡镇、1个区；二是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CN" w:eastAsia="zh-CN"/>
        </w:rPr>
        <w:t>联合税务部门扩面动员、集中参保核查等行动，通过社保法律法规普及和政策解读，算清“经济账”，引导和鼓励城乡居民、灵活就业人员、新业态从业人员参保缴费，社会保险覆盖面不断扩大；三是妥善推进延迟退休改革工作，通过统筹调度、广泛宣传、舆论监测等方式确保延迟退休改革工作平稳实施。</w:t>
      </w:r>
    </w:p>
    <w:p w14:paraId="562B9CC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val="zh-CN" w:eastAsia="zh-CN" w:bidi="ar-SA"/>
        </w:rPr>
        <w:t>七、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val="zh-CN" w:eastAsia="zh-CN"/>
        </w:rPr>
        <w:t>存在的问题及原因分析</w:t>
      </w:r>
    </w:p>
    <w:p w14:paraId="5D43C6DB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预算执行存在偏差，由于年初预算安排经费不足，本年度许多专项工作需要申请追加预算，导致实际经费支出高于年初预算，预算编制与实际情况存在偏差。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zh-CN" w:eastAsia="zh-CN"/>
        </w:rPr>
        <w:t xml:space="preserve"> </w:t>
      </w:r>
    </w:p>
    <w:p w14:paraId="217F7C8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val="zh-CN" w:eastAsia="zh-CN" w:bidi="ar-SA"/>
        </w:rPr>
        <w:t>八、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下一步改进措施</w:t>
      </w:r>
    </w:p>
    <w:p w14:paraId="0D282B00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请财政根据社会保障事业发展的要求和实际情况，提高年初部门预算额度。今后工作中，按照预算规定的项目和用途严格财务审计，经费支出严格按预算规定项目的财务支出内容进行财务预算，在预算金额内严控费用支出。推动建立过紧日子的长效机制。推进预算一体化系统建设，使预算管理水平更上台阶。</w:t>
      </w:r>
    </w:p>
    <w:p w14:paraId="1D8E193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val="en-US" w:eastAsia="zh-CN" w:bidi="ar-SA"/>
        </w:rPr>
        <w:t>九、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绩效自评结果拟应用和公开情况</w:t>
      </w:r>
    </w:p>
    <w:p w14:paraId="3E0F4A5D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暂未公开。</w:t>
      </w:r>
    </w:p>
    <w:p w14:paraId="5AFD5637">
      <w:pPr>
        <w:numPr>
          <w:ilvl w:val="0"/>
          <w:numId w:val="0"/>
        </w:numPr>
        <w:ind w:left="0" w:leftChars="0" w:firstLine="640" w:firstLineChars="20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val="en-US" w:eastAsia="zh-CN" w:bidi="ar-SA"/>
        </w:rPr>
        <w:t>十、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其他需要说明的情况</w:t>
      </w:r>
    </w:p>
    <w:p w14:paraId="5C3E3076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无。</w:t>
      </w:r>
    </w:p>
    <w:p w14:paraId="7F6BB6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kern w:val="0"/>
          <w:sz w:val="32"/>
          <w:szCs w:val="32"/>
          <w:highlight w:val="none"/>
          <w:lang w:val="en-US" w:eastAsia="zh-CN"/>
        </w:rPr>
      </w:pPr>
    </w:p>
    <w:sectPr>
      <w:headerReference r:id="rId3" w:type="default"/>
      <w:footerReference r:id="rId4" w:type="default"/>
      <w:pgSz w:w="11905" w:h="16837"/>
      <w:pgMar w:top="2098" w:right="1474" w:bottom="1984" w:left="1474" w:header="850" w:footer="1417" w:gutter="0"/>
      <w:pgNumType w:fmt="numberInDash" w:start="1"/>
      <w:cols w:space="0" w:num="1"/>
      <w:rtlGutter w:val="0"/>
      <w:docGrid w:type="lines" w:linePitch="6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28769F6-DE43-41E8-BF7E-9CC316641A1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EAB15A0-6CE7-4F0D-8799-87BB08F273A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BAD6D70-C583-432A-BDCC-B2DE0AAE7F67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4" w:fontKey="{13EDD1CB-B5A2-4145-A913-67B62BBE1C4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27B6B322-67CD-48E4-84FD-30A7FCCF095B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8493447F-C8FB-4395-A3C4-5213363B86FD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7" w:fontKey="{32D0D17F-FFAA-4A85-AD47-E5072F0150B1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8" w:fontKey="{D3A39726-EC7D-412D-80C3-7B513A78790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6ACFF4">
    <w:pPr>
      <w:pStyle w:val="5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7D02FC16">
                          <w:pPr>
                            <w:pStyle w:val="5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- 25 -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oaYJL0wAA&#10;AAUBAAAPAAAAAAAAAAEAIAAAACIAAABkcnMvZG93bnJldi54bWxQSwECFAAUAAAACACHTuJAmrEc&#10;4+oBAADLAwAADgAAAAAAAAABACAAAAAiAQAAZHJzL2Uyb0RvYy54bWxQSwUGAAAAAAYABgBZAQAA&#10;f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7D02FC16">
                    <w:pPr>
                      <w:pStyle w:val="5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- 25 -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B86A6B"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4048D7"/>
    <w:multiLevelType w:val="singleLevel"/>
    <w:tmpl w:val="7F4048D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2NWQ0N2RlYTlhNzdkODNhN2NlOGZkOTk5ODgwZDEifQ=="/>
    <w:docVar w:name="KSO_WPS_MARK_KEY" w:val="efdb9831-49e2-41f3-897e-affe4bfc1ef8"/>
  </w:docVars>
  <w:rsids>
    <w:rsidRoot w:val="5EF91413"/>
    <w:rsid w:val="001F27BC"/>
    <w:rsid w:val="002D4B0D"/>
    <w:rsid w:val="003062EE"/>
    <w:rsid w:val="00355E6F"/>
    <w:rsid w:val="003E2793"/>
    <w:rsid w:val="003F11DD"/>
    <w:rsid w:val="004E640B"/>
    <w:rsid w:val="00592274"/>
    <w:rsid w:val="00630B10"/>
    <w:rsid w:val="00651AD0"/>
    <w:rsid w:val="00712ECA"/>
    <w:rsid w:val="007C7F1B"/>
    <w:rsid w:val="007F2C1A"/>
    <w:rsid w:val="00826A68"/>
    <w:rsid w:val="00970A76"/>
    <w:rsid w:val="00A3179B"/>
    <w:rsid w:val="00A40CEF"/>
    <w:rsid w:val="00A84895"/>
    <w:rsid w:val="00AD157A"/>
    <w:rsid w:val="00AE5FCA"/>
    <w:rsid w:val="00B83482"/>
    <w:rsid w:val="00CF00E5"/>
    <w:rsid w:val="00D30D45"/>
    <w:rsid w:val="00DF2F64"/>
    <w:rsid w:val="00E47EB9"/>
    <w:rsid w:val="00EF286B"/>
    <w:rsid w:val="00EF7465"/>
    <w:rsid w:val="00F5064A"/>
    <w:rsid w:val="00FB5247"/>
    <w:rsid w:val="01881C21"/>
    <w:rsid w:val="01AB173E"/>
    <w:rsid w:val="024B4144"/>
    <w:rsid w:val="02E230B9"/>
    <w:rsid w:val="03640DA7"/>
    <w:rsid w:val="081035F5"/>
    <w:rsid w:val="0885784C"/>
    <w:rsid w:val="095202B3"/>
    <w:rsid w:val="0A371C48"/>
    <w:rsid w:val="0A461E15"/>
    <w:rsid w:val="0D1F294F"/>
    <w:rsid w:val="0EE7339E"/>
    <w:rsid w:val="127960C2"/>
    <w:rsid w:val="128706BB"/>
    <w:rsid w:val="128C289E"/>
    <w:rsid w:val="13F1430E"/>
    <w:rsid w:val="14C23CB6"/>
    <w:rsid w:val="15E118C5"/>
    <w:rsid w:val="16AA1FDF"/>
    <w:rsid w:val="18C44B05"/>
    <w:rsid w:val="1921258C"/>
    <w:rsid w:val="1A86539E"/>
    <w:rsid w:val="1D514A07"/>
    <w:rsid w:val="1D736768"/>
    <w:rsid w:val="1E02384E"/>
    <w:rsid w:val="1E2D7B42"/>
    <w:rsid w:val="202355A8"/>
    <w:rsid w:val="20C369EC"/>
    <w:rsid w:val="216A31A0"/>
    <w:rsid w:val="217D38DC"/>
    <w:rsid w:val="21887F99"/>
    <w:rsid w:val="21F32188"/>
    <w:rsid w:val="229365CD"/>
    <w:rsid w:val="22E7596F"/>
    <w:rsid w:val="2605582B"/>
    <w:rsid w:val="26686870"/>
    <w:rsid w:val="27666297"/>
    <w:rsid w:val="28264A04"/>
    <w:rsid w:val="282B2D61"/>
    <w:rsid w:val="297525F8"/>
    <w:rsid w:val="2B8F395A"/>
    <w:rsid w:val="2CA21E0A"/>
    <w:rsid w:val="2CD96D87"/>
    <w:rsid w:val="2DF15952"/>
    <w:rsid w:val="2E423D71"/>
    <w:rsid w:val="2E6C7FCB"/>
    <w:rsid w:val="2E88044F"/>
    <w:rsid w:val="30EE10CA"/>
    <w:rsid w:val="3284589B"/>
    <w:rsid w:val="341734AD"/>
    <w:rsid w:val="34335357"/>
    <w:rsid w:val="36F9338A"/>
    <w:rsid w:val="37779E60"/>
    <w:rsid w:val="377A0AC9"/>
    <w:rsid w:val="38D560CA"/>
    <w:rsid w:val="3929066E"/>
    <w:rsid w:val="39E9356E"/>
    <w:rsid w:val="39F525A2"/>
    <w:rsid w:val="3B8D6CB0"/>
    <w:rsid w:val="3C495460"/>
    <w:rsid w:val="3C7B06AE"/>
    <w:rsid w:val="3D6A1B31"/>
    <w:rsid w:val="4015034D"/>
    <w:rsid w:val="43596284"/>
    <w:rsid w:val="44BA060E"/>
    <w:rsid w:val="44BB3C98"/>
    <w:rsid w:val="454063A9"/>
    <w:rsid w:val="47A66F47"/>
    <w:rsid w:val="48190D72"/>
    <w:rsid w:val="487D7439"/>
    <w:rsid w:val="48B00D40"/>
    <w:rsid w:val="49567193"/>
    <w:rsid w:val="49B50C04"/>
    <w:rsid w:val="49F422BC"/>
    <w:rsid w:val="4A4C5543"/>
    <w:rsid w:val="4A856EB6"/>
    <w:rsid w:val="4BB72B70"/>
    <w:rsid w:val="4BBB1991"/>
    <w:rsid w:val="4BCA227C"/>
    <w:rsid w:val="4D765FE4"/>
    <w:rsid w:val="4D7F362E"/>
    <w:rsid w:val="4E0A33A3"/>
    <w:rsid w:val="4E1B3885"/>
    <w:rsid w:val="4F670C47"/>
    <w:rsid w:val="509C514E"/>
    <w:rsid w:val="5316523A"/>
    <w:rsid w:val="54260108"/>
    <w:rsid w:val="553254BE"/>
    <w:rsid w:val="553B4087"/>
    <w:rsid w:val="583020DD"/>
    <w:rsid w:val="592547BC"/>
    <w:rsid w:val="59544026"/>
    <w:rsid w:val="5AB9755B"/>
    <w:rsid w:val="5AE1053E"/>
    <w:rsid w:val="5AF474F0"/>
    <w:rsid w:val="5B742D21"/>
    <w:rsid w:val="5BB151FE"/>
    <w:rsid w:val="5C0351D3"/>
    <w:rsid w:val="5D743943"/>
    <w:rsid w:val="5D973665"/>
    <w:rsid w:val="5E761C8C"/>
    <w:rsid w:val="5EF91413"/>
    <w:rsid w:val="5F567206"/>
    <w:rsid w:val="5F875025"/>
    <w:rsid w:val="60D6222F"/>
    <w:rsid w:val="6217071C"/>
    <w:rsid w:val="62CE02E9"/>
    <w:rsid w:val="62E23B8B"/>
    <w:rsid w:val="632C6B3E"/>
    <w:rsid w:val="633F0072"/>
    <w:rsid w:val="64E07CE5"/>
    <w:rsid w:val="666920D7"/>
    <w:rsid w:val="66F756A1"/>
    <w:rsid w:val="68C1250B"/>
    <w:rsid w:val="69380B1B"/>
    <w:rsid w:val="696D0DF3"/>
    <w:rsid w:val="6C1733E6"/>
    <w:rsid w:val="6CF536F6"/>
    <w:rsid w:val="6E3A48D9"/>
    <w:rsid w:val="6EE90259"/>
    <w:rsid w:val="6F8673D6"/>
    <w:rsid w:val="6FCF75EC"/>
    <w:rsid w:val="70446EA1"/>
    <w:rsid w:val="707537A6"/>
    <w:rsid w:val="713E488C"/>
    <w:rsid w:val="71591FCE"/>
    <w:rsid w:val="71F256AB"/>
    <w:rsid w:val="73133AF6"/>
    <w:rsid w:val="736D4488"/>
    <w:rsid w:val="75232E01"/>
    <w:rsid w:val="753A5550"/>
    <w:rsid w:val="75B4584A"/>
    <w:rsid w:val="78FDF452"/>
    <w:rsid w:val="7CEF2B13"/>
    <w:rsid w:val="7D2C3E42"/>
    <w:rsid w:val="7DAF813A"/>
    <w:rsid w:val="BEF5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312" w:lineRule="auto"/>
      <w:jc w:val="center"/>
      <w:outlineLvl w:val="1"/>
    </w:pPr>
    <w:rPr>
      <w:rFonts w:ascii="Cambria" w:hAnsi="Cambria" w:cs="宋体"/>
      <w:b/>
      <w:bCs/>
      <w:sz w:val="36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semiHidden/>
    <w:qFormat/>
    <w:uiPriority w:val="99"/>
    <w:rPr>
      <w:rFonts w:ascii="黑体" w:hAnsi="黑体" w:eastAsia="黑体" w:cs="黑体"/>
    </w:rPr>
  </w:style>
  <w:style w:type="paragraph" w:styleId="8">
    <w:name w:val="Subtitle"/>
    <w:basedOn w:val="1"/>
    <w:next w:val="1"/>
    <w:qFormat/>
    <w:uiPriority w:val="0"/>
    <w:pPr>
      <w:ind w:firstLine="200" w:firstLineChars="200"/>
      <w:jc w:val="left"/>
      <w:outlineLvl w:val="2"/>
    </w:pPr>
    <w:rPr>
      <w:rFonts w:ascii="Cambria" w:hAnsi="Cambria" w:eastAsia="黑体"/>
      <w:bCs/>
      <w:kern w:val="28"/>
      <w:sz w:val="28"/>
      <w:szCs w:val="32"/>
    </w:rPr>
  </w:style>
  <w:style w:type="paragraph" w:styleId="9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  <w:szCs w:val="20"/>
    </w:rPr>
  </w:style>
  <w:style w:type="paragraph" w:styleId="10">
    <w:name w:val="Body Text First Indent"/>
    <w:basedOn w:val="4"/>
    <w:qFormat/>
    <w:uiPriority w:val="0"/>
    <w:pPr>
      <w:ind w:firstLine="664"/>
    </w:pPr>
  </w:style>
  <w:style w:type="character" w:styleId="13">
    <w:name w:val="page number"/>
    <w:basedOn w:val="12"/>
    <w:qFormat/>
    <w:uiPriority w:val="0"/>
  </w:style>
  <w:style w:type="paragraph" w:customStyle="1" w:styleId="14">
    <w:name w:val="BodyText1I2"/>
    <w:basedOn w:val="15"/>
    <w:qFormat/>
    <w:uiPriority w:val="0"/>
    <w:pPr>
      <w:ind w:firstLine="420"/>
    </w:pPr>
  </w:style>
  <w:style w:type="paragraph" w:customStyle="1" w:styleId="15">
    <w:name w:val="BodyTextIndent"/>
    <w:basedOn w:val="1"/>
    <w:qFormat/>
    <w:uiPriority w:val="0"/>
    <w:pPr>
      <w:spacing w:after="120"/>
      <w:ind w:left="420" w:leftChars="200" w:firstLine="200" w:firstLineChars="200"/>
      <w:textAlignment w:val="baseline"/>
    </w:p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paragraph" w:customStyle="1" w:styleId="17">
    <w:name w:val="无间隔1"/>
    <w:qFormat/>
    <w:uiPriority w:val="0"/>
    <w:pPr>
      <w:widowControl w:val="0"/>
      <w:spacing w:beforeLines="50"/>
      <w:jc w:val="center"/>
    </w:pPr>
    <w:rPr>
      <w:rFonts w:ascii="Times New Roman" w:hAnsi="Times New Roman" w:eastAsia="仿宋_GB2312" w:cs="Times New Roman"/>
      <w:kern w:val="2"/>
      <w:sz w:val="24"/>
      <w:szCs w:val="22"/>
      <w:lang w:val="en-US" w:eastAsia="zh-CN" w:bidi="ar-SA"/>
    </w:rPr>
  </w:style>
  <w:style w:type="paragraph" w:customStyle="1" w:styleId="18">
    <w:name w:val="无缩进"/>
    <w:basedOn w:val="1"/>
    <w:qFormat/>
    <w:uiPriority w:val="0"/>
    <w:pPr>
      <w:spacing w:line="312" w:lineRule="auto"/>
    </w:pPr>
    <w:rPr>
      <w:sz w:val="24"/>
      <w:szCs w:val="22"/>
    </w:rPr>
  </w:style>
  <w:style w:type="paragraph" w:customStyle="1" w:styleId="19">
    <w:name w:val="列出段落1"/>
    <w:basedOn w:val="1"/>
    <w:qFormat/>
    <w:uiPriority w:val="0"/>
    <w:pPr>
      <w:ind w:firstLine="420" w:firstLineChars="200"/>
    </w:pPr>
  </w:style>
  <w:style w:type="paragraph" w:customStyle="1" w:styleId="20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21">
    <w:name w:val="font61"/>
    <w:basedOn w:val="12"/>
    <w:qFormat/>
    <w:uiPriority w:val="0"/>
    <w:rPr>
      <w:rFonts w:ascii="Times New Roman" w:hAnsi="Times New Roman" w:cs="Times New Roman"/>
      <w:b/>
      <w:color w:val="000000"/>
      <w:sz w:val="28"/>
      <w:szCs w:val="28"/>
      <w:u w:val="none"/>
    </w:rPr>
  </w:style>
  <w:style w:type="character" w:customStyle="1" w:styleId="22">
    <w:name w:val="font121"/>
    <w:basedOn w:val="12"/>
    <w:qFormat/>
    <w:uiPriority w:val="0"/>
    <w:rPr>
      <w:rFonts w:ascii="Times New Roman" w:hAnsi="Times New Roman" w:cs="Times New Roman"/>
      <w:color w:val="000000"/>
      <w:sz w:val="20"/>
      <w:szCs w:val="20"/>
      <w:u w:val="none"/>
    </w:rPr>
  </w:style>
  <w:style w:type="character" w:customStyle="1" w:styleId="23">
    <w:name w:val="font11"/>
    <w:basedOn w:val="12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24">
    <w:name w:val="font131"/>
    <w:basedOn w:val="12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25">
    <w:name w:val="font141"/>
    <w:basedOn w:val="12"/>
    <w:qFormat/>
    <w:uiPriority w:val="0"/>
    <w:rPr>
      <w:rFonts w:ascii="Times New Roman" w:hAnsi="Times New Roman" w:cs="Times New Roman"/>
      <w:color w:val="000000"/>
      <w:sz w:val="24"/>
      <w:szCs w:val="24"/>
      <w:u w:val="none"/>
    </w:rPr>
  </w:style>
  <w:style w:type="character" w:customStyle="1" w:styleId="26">
    <w:name w:val="font101"/>
    <w:basedOn w:val="12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  <w:style w:type="paragraph" w:customStyle="1" w:styleId="27">
    <w:name w:val="Other|1"/>
    <w:basedOn w:val="1"/>
    <w:qFormat/>
    <w:uiPriority w:val="0"/>
    <w:pPr>
      <w:widowControl w:val="0"/>
      <w:shd w:val="clear" w:color="auto" w:fill="auto"/>
      <w:spacing w:line="238" w:lineRule="exact"/>
    </w:pPr>
    <w:rPr>
      <w:rFonts w:ascii="宋体" w:hAnsi="宋体" w:eastAsia="宋体" w:cs="宋体"/>
      <w:color w:val="1D1433"/>
      <w:sz w:val="20"/>
      <w:szCs w:val="2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1693</Words>
  <Characters>1770</Characters>
  <Lines>102</Lines>
  <Paragraphs>28</Paragraphs>
  <TotalTime>0</TotalTime>
  <ScaleCrop>false</ScaleCrop>
  <LinksUpToDate>false</LinksUpToDate>
  <CharactersWithSpaces>2238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2022-01-06T16:40:00Z</dcterms:created>
  <dc:creator>greatwall</dc:creator>
  <cp:lastModifiedBy>筱躲</cp:lastModifiedBy>
  <cp:lastPrinted>2024-05-17T18:04:00Z</cp:lastPrinted>
  <dcterms:modified xsi:type="dcterms:W3CDTF">2026-04-13T07:37:04Z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451B6A88149641C1BC213E0F336B96FB_13</vt:lpwstr>
  </property>
  <property fmtid="{D5CDD505-2E9C-101B-9397-08002B2CF9AE}" pid="4" name="commondata">
    <vt:lpwstr>eyJoZGlkIjoiYTYyNDdjODg3NGNlNDkxMWExODY4YWEyMTRmNzM4NmQifQ==</vt:lpwstr>
  </property>
  <property fmtid="{D5CDD505-2E9C-101B-9397-08002B2CF9AE}" pid="5" name="KSOTemplateDocerSaveRecord">
    <vt:lpwstr>eyJoZGlkIjoiZTVhMDhmNDQzNTY5MzllMWY3ZTRlYzM0ZWM5ZDI1YzgiLCJ1c2VySWQiOiIzNDc1NjEzODEifQ==</vt:lpwstr>
  </property>
</Properties>
</file>